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B4" w:rsidRPr="00C3011F" w:rsidRDefault="00C945B4" w:rsidP="00C945B4">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23</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AD3D68" w:rsidRDefault="00C945B4" w:rsidP="00C945B4">
      <w:pPr>
        <w:spacing w:after="1" w:line="220" w:lineRule="atLeast"/>
        <w:jc w:val="right"/>
        <w:rPr>
          <w:rFonts w:ascii="Times New Roman" w:hAnsi="Times New Roman" w:cs="Times New Roman"/>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5</w:t>
      </w:r>
      <w:r w:rsidRPr="00C3011F">
        <w:rPr>
          <w:rFonts w:ascii="Times New Roman" w:hAnsi="Times New Roman" w:cs="Times New Roman"/>
          <w:sz w:val="24"/>
          <w:szCs w:val="24"/>
        </w:rPr>
        <w:t xml:space="preserve"> и 202</w:t>
      </w:r>
      <w:r>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AD3D68" w:rsidRDefault="00AD3D68" w:rsidP="00AD3D68">
      <w:pPr>
        <w:spacing w:after="1" w:line="220" w:lineRule="atLeast"/>
        <w:jc w:val="center"/>
        <w:rPr>
          <w:rFonts w:ascii="Times New Roman" w:hAnsi="Times New Roman" w:cs="Times New Roman"/>
          <w:b/>
        </w:rPr>
      </w:pPr>
    </w:p>
    <w:p w:rsidR="004271DC" w:rsidRDefault="00AD3D68" w:rsidP="00AD3D68">
      <w:pPr>
        <w:spacing w:after="1" w:line="220" w:lineRule="atLeast"/>
        <w:jc w:val="center"/>
        <w:rPr>
          <w:rFonts w:ascii="Times New Roman" w:hAnsi="Times New Roman" w:cs="Times New Roman"/>
          <w:b/>
          <w:sz w:val="28"/>
          <w:szCs w:val="28"/>
        </w:rPr>
      </w:pPr>
      <w:r w:rsidRPr="00C945B4">
        <w:rPr>
          <w:rFonts w:ascii="Times New Roman" w:hAnsi="Times New Roman" w:cs="Times New Roman"/>
          <w:b/>
          <w:sz w:val="28"/>
          <w:szCs w:val="28"/>
        </w:rPr>
        <w:t>Программа государственных внутренних заимствований</w:t>
      </w:r>
    </w:p>
    <w:p w:rsidR="00AD3D68" w:rsidRDefault="00AD3D68" w:rsidP="00AD3D68">
      <w:pPr>
        <w:spacing w:after="1" w:line="220" w:lineRule="atLeast"/>
        <w:jc w:val="center"/>
        <w:rPr>
          <w:rFonts w:ascii="Times New Roman" w:hAnsi="Times New Roman" w:cs="Times New Roman"/>
          <w:b/>
          <w:sz w:val="28"/>
          <w:szCs w:val="28"/>
        </w:rPr>
      </w:pPr>
      <w:r w:rsidRPr="00C945B4">
        <w:rPr>
          <w:rFonts w:ascii="Times New Roman" w:hAnsi="Times New Roman" w:cs="Times New Roman"/>
          <w:b/>
          <w:sz w:val="28"/>
          <w:szCs w:val="28"/>
        </w:rPr>
        <w:t xml:space="preserve"> Республики Алтай</w:t>
      </w:r>
      <w:r w:rsidR="004271DC">
        <w:rPr>
          <w:rFonts w:ascii="Times New Roman" w:hAnsi="Times New Roman" w:cs="Times New Roman"/>
          <w:b/>
          <w:sz w:val="28"/>
          <w:szCs w:val="28"/>
        </w:rPr>
        <w:t xml:space="preserve"> </w:t>
      </w:r>
      <w:r w:rsidRPr="00C945B4">
        <w:rPr>
          <w:rFonts w:ascii="Times New Roman" w:hAnsi="Times New Roman" w:cs="Times New Roman"/>
          <w:b/>
          <w:sz w:val="28"/>
          <w:szCs w:val="28"/>
        </w:rPr>
        <w:t>на 202</w:t>
      </w:r>
      <w:r w:rsidR="00680C36" w:rsidRPr="00C945B4">
        <w:rPr>
          <w:rFonts w:ascii="Times New Roman" w:hAnsi="Times New Roman" w:cs="Times New Roman"/>
          <w:b/>
          <w:sz w:val="28"/>
          <w:szCs w:val="28"/>
        </w:rPr>
        <w:t>4</w:t>
      </w:r>
      <w:r w:rsidRPr="00C945B4">
        <w:rPr>
          <w:rFonts w:ascii="Times New Roman" w:hAnsi="Times New Roman" w:cs="Times New Roman"/>
          <w:b/>
          <w:sz w:val="28"/>
          <w:szCs w:val="28"/>
        </w:rPr>
        <w:t xml:space="preserve"> год</w:t>
      </w:r>
    </w:p>
    <w:p w:rsidR="00661E71" w:rsidRPr="00C945B4" w:rsidRDefault="00661E71" w:rsidP="00AD3D68">
      <w:pPr>
        <w:spacing w:after="1" w:line="220" w:lineRule="atLeast"/>
        <w:jc w:val="center"/>
        <w:rPr>
          <w:rFonts w:ascii="Times New Roman" w:hAnsi="Times New Roman" w:cs="Times New Roman"/>
          <w:sz w:val="28"/>
          <w:szCs w:val="28"/>
        </w:rPr>
      </w:pPr>
      <w:r w:rsidRPr="00661E71">
        <w:rPr>
          <w:rFonts w:ascii="Times New Roman" w:hAnsi="Times New Roman" w:cs="Times New Roman"/>
          <w:sz w:val="28"/>
          <w:szCs w:val="28"/>
        </w:rPr>
        <w:t>(в ред. Закона РА от 01.04.2024 № 1-РЗ)</w:t>
      </w:r>
    </w:p>
    <w:p w:rsidR="00AD3D68" w:rsidRPr="00EF45D3" w:rsidRDefault="00AD3D68" w:rsidP="004271DC">
      <w:pPr>
        <w:tabs>
          <w:tab w:val="left" w:pos="4536"/>
        </w:tabs>
        <w:spacing w:after="1" w:line="220" w:lineRule="atLeast"/>
        <w:jc w:val="both"/>
        <w:rPr>
          <w:rFonts w:ascii="Times New Roman" w:hAnsi="Times New Roman" w:cs="Times New Roman"/>
        </w:rPr>
      </w:pP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(тыс. рублей)</w:t>
      </w:r>
    </w:p>
    <w:tbl>
      <w:tblPr>
        <w:tblStyle w:val="a3"/>
        <w:tblW w:w="9776" w:type="dxa"/>
        <w:jc w:val="center"/>
        <w:tblLayout w:type="fixed"/>
        <w:tblLook w:val="04A0" w:firstRow="1" w:lastRow="0" w:firstColumn="1" w:lastColumn="0" w:noHBand="0" w:noVBand="1"/>
      </w:tblPr>
      <w:tblGrid>
        <w:gridCol w:w="4815"/>
        <w:gridCol w:w="1565"/>
        <w:gridCol w:w="1701"/>
        <w:gridCol w:w="1695"/>
      </w:tblGrid>
      <w:tr w:rsidR="005F7112" w:rsidRPr="00EF45D3" w:rsidTr="004271DC">
        <w:trPr>
          <w:jc w:val="center"/>
        </w:trPr>
        <w:tc>
          <w:tcPr>
            <w:tcW w:w="4815" w:type="dxa"/>
            <w:vMerge w:val="restart"/>
            <w:vAlign w:val="center"/>
          </w:tcPr>
          <w:p w:rsidR="005F7112" w:rsidRPr="00EF45D3" w:rsidRDefault="005F7112" w:rsidP="00AD3D68">
            <w:pPr>
              <w:spacing w:after="1" w:line="220" w:lineRule="atLeast"/>
              <w:jc w:val="center"/>
              <w:rPr>
                <w:rFonts w:ascii="Times New Roman" w:hAnsi="Times New Roman" w:cs="Times New Roman"/>
              </w:rPr>
            </w:pPr>
          </w:p>
        </w:tc>
        <w:tc>
          <w:tcPr>
            <w:tcW w:w="4961" w:type="dxa"/>
            <w:gridSpan w:val="3"/>
          </w:tcPr>
          <w:p w:rsidR="005F7112" w:rsidRPr="00EF45D3" w:rsidRDefault="005F7112" w:rsidP="00DD6AEE">
            <w:pPr>
              <w:spacing w:after="1" w:line="220" w:lineRule="atLeast"/>
              <w:jc w:val="center"/>
              <w:rPr>
                <w:rFonts w:ascii="Times New Roman" w:hAnsi="Times New Roman" w:cs="Times New Roman"/>
                <w:b/>
              </w:rPr>
            </w:pPr>
            <w:r w:rsidRPr="00EF45D3">
              <w:rPr>
                <w:rFonts w:ascii="Times New Roman" w:hAnsi="Times New Roman" w:cs="Times New Roman"/>
                <w:b/>
              </w:rPr>
              <w:t>202</w:t>
            </w:r>
            <w:r w:rsidR="00680C36" w:rsidRPr="00EF45D3">
              <w:rPr>
                <w:rFonts w:ascii="Times New Roman" w:hAnsi="Times New Roman" w:cs="Times New Roman"/>
                <w:b/>
              </w:rPr>
              <w:t>4</w:t>
            </w:r>
            <w:r w:rsidRPr="00EF45D3">
              <w:rPr>
                <w:rFonts w:ascii="Times New Roman" w:hAnsi="Times New Roman" w:cs="Times New Roman"/>
                <w:b/>
              </w:rPr>
              <w:t xml:space="preserve"> год</w:t>
            </w:r>
          </w:p>
        </w:tc>
      </w:tr>
      <w:tr w:rsidR="005F7112" w:rsidRPr="00EF45D3" w:rsidTr="004271DC">
        <w:trPr>
          <w:jc w:val="center"/>
        </w:trPr>
        <w:tc>
          <w:tcPr>
            <w:tcW w:w="4815"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3266" w:type="dxa"/>
            <w:gridSpan w:val="2"/>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Привлечение средств</w:t>
            </w:r>
          </w:p>
        </w:tc>
        <w:tc>
          <w:tcPr>
            <w:tcW w:w="1695" w:type="dxa"/>
            <w:vMerge w:val="restart"/>
          </w:tcPr>
          <w:p w:rsidR="005F7112" w:rsidRPr="00EF45D3" w:rsidRDefault="005F7112" w:rsidP="004E2BAC">
            <w:pPr>
              <w:spacing w:after="1" w:line="220" w:lineRule="atLeast"/>
              <w:jc w:val="center"/>
              <w:rPr>
                <w:rFonts w:ascii="Times New Roman" w:hAnsi="Times New Roman" w:cs="Times New Roman"/>
              </w:rPr>
            </w:pPr>
            <w:r w:rsidRPr="00EF45D3">
              <w:rPr>
                <w:rFonts w:ascii="Times New Roman" w:hAnsi="Times New Roman" w:cs="Times New Roman"/>
                <w:b/>
              </w:rPr>
              <w:t xml:space="preserve">Объем средств, </w:t>
            </w:r>
            <w:r w:rsidRPr="0080500C">
              <w:rPr>
                <w:rFonts w:ascii="Times New Roman" w:hAnsi="Times New Roman" w:cs="Times New Roman"/>
                <w:b/>
                <w:sz w:val="20"/>
                <w:szCs w:val="20"/>
              </w:rPr>
              <w:t xml:space="preserve">направляемых </w:t>
            </w:r>
            <w:r w:rsidRPr="00EF45D3">
              <w:rPr>
                <w:rFonts w:ascii="Times New Roman" w:hAnsi="Times New Roman" w:cs="Times New Roman"/>
                <w:b/>
              </w:rPr>
              <w:t>на погашение основной суммы долга</w:t>
            </w:r>
          </w:p>
        </w:tc>
      </w:tr>
      <w:tr w:rsidR="005F7112" w:rsidRPr="00EF45D3" w:rsidTr="004271DC">
        <w:trPr>
          <w:jc w:val="center"/>
        </w:trPr>
        <w:tc>
          <w:tcPr>
            <w:tcW w:w="4815"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1565" w:type="dxa"/>
            <w:vAlign w:val="center"/>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Объем привлечения средств</w:t>
            </w:r>
          </w:p>
        </w:tc>
        <w:tc>
          <w:tcPr>
            <w:tcW w:w="1701" w:type="dxa"/>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Предельные сроки погашения привлеченных долговых обязательств</w:t>
            </w:r>
          </w:p>
        </w:tc>
        <w:tc>
          <w:tcPr>
            <w:tcW w:w="1695" w:type="dxa"/>
            <w:vMerge/>
            <w:vAlign w:val="center"/>
          </w:tcPr>
          <w:p w:rsidR="005F7112" w:rsidRPr="00EF45D3" w:rsidRDefault="005F7112" w:rsidP="004E2BAC">
            <w:pPr>
              <w:spacing w:after="1" w:line="220" w:lineRule="atLeast"/>
              <w:jc w:val="center"/>
              <w:rPr>
                <w:rFonts w:ascii="Times New Roman" w:hAnsi="Times New Roman" w:cs="Times New Roman"/>
                <w:b/>
              </w:rPr>
            </w:pPr>
          </w:p>
        </w:tc>
      </w:tr>
      <w:tr w:rsidR="005F7112" w:rsidRPr="00EF45D3" w:rsidTr="004271DC">
        <w:trPr>
          <w:trHeight w:val="617"/>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b/>
              </w:rPr>
            </w:pPr>
            <w:r w:rsidRPr="00EF45D3">
              <w:rPr>
                <w:rFonts w:ascii="Times New Roman" w:hAnsi="Times New Roman" w:cs="Times New Roman"/>
                <w:b/>
              </w:rPr>
              <w:t>Государственные внутренние заимствования Республики Алтай</w:t>
            </w:r>
          </w:p>
        </w:tc>
        <w:tc>
          <w:tcPr>
            <w:tcW w:w="1565" w:type="dxa"/>
            <w:vAlign w:val="center"/>
          </w:tcPr>
          <w:p w:rsidR="005F7112" w:rsidRPr="00EF45D3" w:rsidRDefault="00A33C62" w:rsidP="003C492F">
            <w:pPr>
              <w:spacing w:line="220" w:lineRule="atLeast"/>
              <w:jc w:val="center"/>
              <w:rPr>
                <w:rFonts w:ascii="Times New Roman" w:hAnsi="Times New Roman" w:cs="Times New Roman"/>
                <w:b/>
              </w:rPr>
            </w:pPr>
            <w:r>
              <w:rPr>
                <w:rFonts w:ascii="Times New Roman" w:hAnsi="Times New Roman" w:cs="Times New Roman"/>
                <w:b/>
              </w:rPr>
              <w:t>2 305</w:t>
            </w:r>
            <w:r w:rsidR="00680C36" w:rsidRPr="00EF45D3">
              <w:rPr>
                <w:rFonts w:ascii="Times New Roman" w:hAnsi="Times New Roman" w:cs="Times New Roman"/>
                <w:b/>
              </w:rPr>
              <w:t> 000,0</w:t>
            </w:r>
          </w:p>
        </w:tc>
        <w:tc>
          <w:tcPr>
            <w:tcW w:w="1701" w:type="dxa"/>
            <w:vAlign w:val="center"/>
          </w:tcPr>
          <w:p w:rsidR="005F7112" w:rsidRPr="00EF45D3" w:rsidRDefault="005F7112" w:rsidP="007F2F4C">
            <w:pPr>
              <w:spacing w:line="220" w:lineRule="atLeast"/>
              <w:jc w:val="center"/>
              <w:rPr>
                <w:rFonts w:ascii="Times New Roman" w:hAnsi="Times New Roman" w:cs="Times New Roman"/>
                <w:b/>
              </w:rPr>
            </w:pPr>
            <w:r w:rsidRPr="00EF45D3">
              <w:rPr>
                <w:rFonts w:ascii="Times New Roman" w:hAnsi="Times New Roman" w:cs="Times New Roman"/>
                <w:b/>
              </w:rPr>
              <w:t>Х</w:t>
            </w:r>
          </w:p>
        </w:tc>
        <w:tc>
          <w:tcPr>
            <w:tcW w:w="1695" w:type="dxa"/>
            <w:vAlign w:val="center"/>
          </w:tcPr>
          <w:p w:rsidR="005F7112" w:rsidRPr="00EF45D3" w:rsidRDefault="00DD6AEE" w:rsidP="004E1DB4">
            <w:pPr>
              <w:spacing w:line="220" w:lineRule="atLeast"/>
              <w:jc w:val="center"/>
              <w:rPr>
                <w:rFonts w:ascii="Times New Roman" w:hAnsi="Times New Roman" w:cs="Times New Roman"/>
                <w:b/>
              </w:rPr>
            </w:pPr>
            <w:r w:rsidRPr="00EF45D3">
              <w:rPr>
                <w:rFonts w:ascii="Times New Roman" w:hAnsi="Times New Roman" w:cs="Times New Roman"/>
                <w:b/>
              </w:rPr>
              <w:t>-</w:t>
            </w:r>
            <w:r w:rsidR="0075212F" w:rsidRPr="00EF45D3">
              <w:rPr>
                <w:rFonts w:ascii="Times New Roman" w:hAnsi="Times New Roman" w:cs="Times New Roman"/>
                <w:b/>
              </w:rPr>
              <w:t xml:space="preserve"> </w:t>
            </w:r>
            <w:r w:rsidR="00A33C62">
              <w:rPr>
                <w:rFonts w:ascii="Times New Roman" w:hAnsi="Times New Roman" w:cs="Times New Roman"/>
                <w:b/>
              </w:rPr>
              <w:t>1 598 168</w:t>
            </w:r>
            <w:r w:rsidR="004E1DB4" w:rsidRPr="00EF45D3">
              <w:rPr>
                <w:rFonts w:ascii="Times New Roman" w:hAnsi="Times New Roman" w:cs="Times New Roman"/>
                <w:b/>
              </w:rPr>
              <w:t>,0</w:t>
            </w:r>
          </w:p>
        </w:tc>
      </w:tr>
      <w:tr w:rsidR="005F7112" w:rsidRPr="00EF45D3" w:rsidTr="004271DC">
        <w:trPr>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rPr>
            </w:pPr>
            <w:r w:rsidRPr="00EF45D3">
              <w:rPr>
                <w:rFonts w:ascii="Times New Roman" w:hAnsi="Times New Roman" w:cs="Times New Roman"/>
              </w:rPr>
              <w:t>в том числе:</w:t>
            </w:r>
          </w:p>
        </w:tc>
        <w:tc>
          <w:tcPr>
            <w:tcW w:w="1565" w:type="dxa"/>
            <w:vAlign w:val="center"/>
          </w:tcPr>
          <w:p w:rsidR="005F7112" w:rsidRPr="00EF45D3" w:rsidRDefault="005F7112" w:rsidP="007F2F4C">
            <w:pPr>
              <w:spacing w:line="220" w:lineRule="atLeast"/>
              <w:jc w:val="center"/>
              <w:rPr>
                <w:rFonts w:ascii="Times New Roman" w:hAnsi="Times New Roman" w:cs="Times New Roman"/>
              </w:rPr>
            </w:pPr>
          </w:p>
        </w:tc>
        <w:tc>
          <w:tcPr>
            <w:tcW w:w="1701" w:type="dxa"/>
          </w:tcPr>
          <w:p w:rsidR="005F7112" w:rsidRPr="00EF45D3" w:rsidRDefault="005F7112" w:rsidP="007F2F4C">
            <w:pPr>
              <w:spacing w:line="220" w:lineRule="atLeast"/>
              <w:jc w:val="center"/>
              <w:rPr>
                <w:rFonts w:ascii="Times New Roman" w:hAnsi="Times New Roman" w:cs="Times New Roman"/>
              </w:rPr>
            </w:pPr>
          </w:p>
        </w:tc>
        <w:tc>
          <w:tcPr>
            <w:tcW w:w="1695" w:type="dxa"/>
            <w:vAlign w:val="center"/>
          </w:tcPr>
          <w:p w:rsidR="005F7112" w:rsidRPr="00EF45D3" w:rsidRDefault="005F7112" w:rsidP="007F2F4C">
            <w:pPr>
              <w:spacing w:line="220" w:lineRule="atLeast"/>
              <w:jc w:val="center"/>
              <w:rPr>
                <w:rFonts w:ascii="Times New Roman" w:hAnsi="Times New Roman" w:cs="Times New Roman"/>
              </w:rPr>
            </w:pPr>
          </w:p>
        </w:tc>
      </w:tr>
      <w:tr w:rsidR="005F7112" w:rsidRPr="00EF45D3" w:rsidTr="004271DC">
        <w:trPr>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rPr>
            </w:pPr>
            <w:r w:rsidRPr="00EF45D3">
              <w:rPr>
                <w:rFonts w:ascii="Times New Roman" w:hAnsi="Times New Roman" w:cs="Times New Roman"/>
              </w:rPr>
              <w:t>Кредиты кредитных организаций в валюте Российской Федерации</w:t>
            </w:r>
          </w:p>
        </w:tc>
        <w:tc>
          <w:tcPr>
            <w:tcW w:w="1565" w:type="dxa"/>
            <w:vAlign w:val="center"/>
          </w:tcPr>
          <w:p w:rsidR="005F7112" w:rsidRPr="00EF45D3" w:rsidRDefault="00A33C62" w:rsidP="00CF0A64">
            <w:pPr>
              <w:spacing w:line="220" w:lineRule="atLeast"/>
              <w:jc w:val="center"/>
              <w:rPr>
                <w:rFonts w:ascii="Times New Roman" w:hAnsi="Times New Roman" w:cs="Times New Roman"/>
              </w:rPr>
            </w:pPr>
            <w:r>
              <w:rPr>
                <w:rFonts w:ascii="Times New Roman" w:hAnsi="Times New Roman" w:cs="Times New Roman"/>
              </w:rPr>
              <w:t>1 020</w:t>
            </w:r>
            <w:r w:rsidR="00680C36" w:rsidRPr="00EF45D3">
              <w:rPr>
                <w:rFonts w:ascii="Times New Roman" w:hAnsi="Times New Roman" w:cs="Times New Roman"/>
              </w:rPr>
              <w:t> 326,0</w:t>
            </w:r>
          </w:p>
        </w:tc>
        <w:tc>
          <w:tcPr>
            <w:tcW w:w="1701" w:type="dxa"/>
            <w:vAlign w:val="center"/>
          </w:tcPr>
          <w:p w:rsidR="005F7112" w:rsidRPr="00EF45D3" w:rsidRDefault="00D5782F" w:rsidP="00427045">
            <w:pPr>
              <w:spacing w:line="220" w:lineRule="atLeast"/>
              <w:jc w:val="center"/>
              <w:rPr>
                <w:rFonts w:ascii="Times New Roman" w:hAnsi="Times New Roman" w:cs="Times New Roman"/>
              </w:rPr>
            </w:pPr>
            <w:r w:rsidRPr="00EF45D3">
              <w:rPr>
                <w:rFonts w:ascii="Times New Roman" w:hAnsi="Times New Roman" w:cs="Times New Roman"/>
              </w:rPr>
              <w:t>7</w:t>
            </w:r>
            <w:r w:rsidR="004A31F9" w:rsidRPr="00EF45D3">
              <w:rPr>
                <w:rFonts w:ascii="Times New Roman" w:hAnsi="Times New Roman" w:cs="Times New Roman"/>
              </w:rPr>
              <w:t>3</w:t>
            </w:r>
            <w:r w:rsidRPr="00EF45D3">
              <w:rPr>
                <w:rFonts w:ascii="Times New Roman" w:hAnsi="Times New Roman" w:cs="Times New Roman"/>
              </w:rPr>
              <w:t>0</w:t>
            </w:r>
            <w:r w:rsidR="005F7112" w:rsidRPr="00EF45D3">
              <w:rPr>
                <w:rFonts w:ascii="Times New Roman" w:hAnsi="Times New Roman" w:cs="Times New Roman"/>
              </w:rPr>
              <w:t xml:space="preserve"> дней</w:t>
            </w:r>
          </w:p>
        </w:tc>
        <w:tc>
          <w:tcPr>
            <w:tcW w:w="1695" w:type="dxa"/>
            <w:vAlign w:val="center"/>
          </w:tcPr>
          <w:p w:rsidR="005F7112" w:rsidRPr="00EF45D3" w:rsidRDefault="00DD6AEE" w:rsidP="00D5782F">
            <w:pPr>
              <w:spacing w:line="220" w:lineRule="atLeast"/>
              <w:jc w:val="center"/>
              <w:rPr>
                <w:rFonts w:ascii="Times New Roman" w:hAnsi="Times New Roman" w:cs="Times New Roman"/>
              </w:rPr>
            </w:pPr>
            <w:r w:rsidRPr="00EF45D3">
              <w:rPr>
                <w:rFonts w:ascii="Times New Roman" w:hAnsi="Times New Roman" w:cs="Times New Roman"/>
              </w:rPr>
              <w:t>-</w:t>
            </w:r>
            <w:r w:rsidR="0075212F" w:rsidRPr="00EF45D3">
              <w:rPr>
                <w:rFonts w:ascii="Times New Roman" w:hAnsi="Times New Roman" w:cs="Times New Roman"/>
              </w:rPr>
              <w:t xml:space="preserve"> </w:t>
            </w:r>
            <w:r w:rsidR="00A33C62">
              <w:rPr>
                <w:rFonts w:ascii="Times New Roman" w:hAnsi="Times New Roman" w:cs="Times New Roman"/>
              </w:rPr>
              <w:t>100 000</w:t>
            </w:r>
            <w:r w:rsidRPr="00EF45D3">
              <w:rPr>
                <w:rFonts w:ascii="Times New Roman" w:hAnsi="Times New Roman" w:cs="Times New Roman"/>
              </w:rPr>
              <w:t>,0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0,0</w:t>
            </w:r>
          </w:p>
        </w:tc>
        <w:tc>
          <w:tcPr>
            <w:tcW w:w="1701"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Х</w:t>
            </w:r>
          </w:p>
        </w:tc>
        <w:tc>
          <w:tcPr>
            <w:tcW w:w="169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- 49 053,0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lang w:val="en-US"/>
              </w:rPr>
              <w:t>1 0</w:t>
            </w:r>
            <w:r w:rsidRPr="00EF45D3">
              <w:rPr>
                <w:rFonts w:ascii="Times New Roman" w:hAnsi="Times New Roman" w:cs="Times New Roman"/>
              </w:rPr>
              <w:t>00 000,0</w:t>
            </w:r>
          </w:p>
        </w:tc>
        <w:tc>
          <w:tcPr>
            <w:tcW w:w="1701"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3</w:t>
            </w:r>
            <w:r w:rsidRPr="00EF45D3">
              <w:rPr>
                <w:rFonts w:ascii="Times New Roman" w:hAnsi="Times New Roman" w:cs="Times New Roman"/>
                <w:lang w:val="en-US"/>
              </w:rPr>
              <w:t>3</w:t>
            </w:r>
            <w:r w:rsidRPr="00EF45D3">
              <w:rPr>
                <w:rFonts w:ascii="Times New Roman" w:hAnsi="Times New Roman" w:cs="Times New Roman"/>
              </w:rPr>
              <w:t>5 дней</w:t>
            </w:r>
          </w:p>
        </w:tc>
        <w:tc>
          <w:tcPr>
            <w:tcW w:w="169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 xml:space="preserve">- </w:t>
            </w:r>
            <w:r w:rsidRPr="00EF45D3">
              <w:rPr>
                <w:rFonts w:ascii="Times New Roman" w:hAnsi="Times New Roman" w:cs="Times New Roman"/>
                <w:lang w:val="en-US"/>
              </w:rPr>
              <w:t>1 0</w:t>
            </w:r>
            <w:r w:rsidRPr="00EF45D3">
              <w:rPr>
                <w:rFonts w:ascii="Times New Roman" w:hAnsi="Times New Roman" w:cs="Times New Roman"/>
              </w:rPr>
              <w:t>00 000,0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5" w:type="dxa"/>
            <w:vAlign w:val="center"/>
          </w:tcPr>
          <w:p w:rsidR="003C492F" w:rsidRPr="00EF45D3" w:rsidRDefault="00680C36" w:rsidP="003C492F">
            <w:pPr>
              <w:spacing w:line="220" w:lineRule="atLeast"/>
              <w:jc w:val="center"/>
              <w:rPr>
                <w:rFonts w:ascii="Times New Roman" w:hAnsi="Times New Roman" w:cs="Times New Roman"/>
              </w:rPr>
            </w:pPr>
            <w:r w:rsidRPr="00EF45D3">
              <w:rPr>
                <w:rFonts w:ascii="Times New Roman" w:hAnsi="Times New Roman" w:cs="Times New Roman"/>
              </w:rPr>
              <w:t>284 674,0</w:t>
            </w:r>
          </w:p>
        </w:tc>
        <w:tc>
          <w:tcPr>
            <w:tcW w:w="1701" w:type="dxa"/>
            <w:vAlign w:val="center"/>
          </w:tcPr>
          <w:p w:rsidR="003C492F" w:rsidRPr="00EF45D3" w:rsidRDefault="00BC1AD8" w:rsidP="003C492F">
            <w:pPr>
              <w:spacing w:line="220" w:lineRule="atLeast"/>
              <w:jc w:val="center"/>
              <w:rPr>
                <w:rFonts w:ascii="Times New Roman" w:hAnsi="Times New Roman" w:cs="Times New Roman"/>
              </w:rPr>
            </w:pPr>
            <w:r>
              <w:rPr>
                <w:rFonts w:ascii="Times New Roman" w:hAnsi="Times New Roman" w:cs="Times New Roman"/>
              </w:rPr>
              <w:t>5 480 дней</w:t>
            </w:r>
          </w:p>
        </w:tc>
        <w:tc>
          <w:tcPr>
            <w:tcW w:w="1695" w:type="dxa"/>
            <w:vAlign w:val="center"/>
          </w:tcPr>
          <w:p w:rsidR="003C492F" w:rsidRPr="00EF45D3" w:rsidRDefault="00680C36" w:rsidP="003C492F">
            <w:pPr>
              <w:spacing w:line="220" w:lineRule="atLeast"/>
              <w:jc w:val="center"/>
              <w:rPr>
                <w:rFonts w:ascii="Times New Roman" w:hAnsi="Times New Roman" w:cs="Times New Roman"/>
              </w:rPr>
            </w:pPr>
            <w:r w:rsidRPr="00EF45D3">
              <w:rPr>
                <w:rFonts w:ascii="Times New Roman" w:hAnsi="Times New Roman" w:cs="Times New Roman"/>
              </w:rPr>
              <w:t>-29 115,0</w:t>
            </w:r>
          </w:p>
        </w:tc>
      </w:tr>
      <w:tr w:rsidR="00680C36" w:rsidRPr="00EF45D3" w:rsidTr="004271DC">
        <w:trPr>
          <w:jc w:val="center"/>
        </w:trPr>
        <w:tc>
          <w:tcPr>
            <w:tcW w:w="4815" w:type="dxa"/>
          </w:tcPr>
          <w:p w:rsidR="00680C36" w:rsidRPr="00EF45D3" w:rsidRDefault="00EF45D3"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w:t>
            </w:r>
            <w:r w:rsidRPr="00EF45D3">
              <w:rPr>
                <w:rFonts w:ascii="Times New Roman" w:hAnsi="Times New Roman" w:cs="Times New Roman"/>
              </w:rPr>
              <w:lastRenderedPageBreak/>
              <w:t>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65"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lastRenderedPageBreak/>
              <w:t>0,0</w:t>
            </w:r>
          </w:p>
        </w:tc>
        <w:tc>
          <w:tcPr>
            <w:tcW w:w="1701"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Х</w:t>
            </w:r>
          </w:p>
        </w:tc>
        <w:tc>
          <w:tcPr>
            <w:tcW w:w="1695"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-420 000,0</w:t>
            </w:r>
            <w:bookmarkStart w:id="0" w:name="_GoBack"/>
            <w:bookmarkEnd w:id="0"/>
          </w:p>
        </w:tc>
      </w:tr>
    </w:tbl>
    <w:p w:rsidR="00AD3D68" w:rsidRPr="00EF45D3" w:rsidRDefault="00AD3D68" w:rsidP="00AD3D68">
      <w:pPr>
        <w:spacing w:after="1" w:line="220" w:lineRule="atLeast"/>
        <w:rPr>
          <w:rFonts w:ascii="Times New Roman" w:hAnsi="Times New Roman" w:cs="Times New Roman"/>
        </w:rPr>
      </w:pPr>
    </w:p>
    <w:p w:rsidR="00A104D9" w:rsidRPr="00EF45D3" w:rsidRDefault="00A104D9"/>
    <w:sectPr w:rsidR="00A104D9" w:rsidRPr="00EF45D3" w:rsidSect="00F15CE9">
      <w:headerReference w:type="default" r:id="rId7"/>
      <w:pgSz w:w="11906" w:h="16838"/>
      <w:pgMar w:top="1418" w:right="851" w:bottom="1134" w:left="1418" w:header="709" w:footer="709" w:gutter="0"/>
      <w:pgNumType w:start="39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01" w:rsidRDefault="00590D01" w:rsidP="00B91072">
      <w:pPr>
        <w:spacing w:after="0" w:line="240" w:lineRule="auto"/>
      </w:pPr>
      <w:r>
        <w:separator/>
      </w:r>
    </w:p>
  </w:endnote>
  <w:endnote w:type="continuationSeparator" w:id="0">
    <w:p w:rsidR="00590D01" w:rsidRDefault="00590D01" w:rsidP="00B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01" w:rsidRDefault="00590D01" w:rsidP="00B91072">
      <w:pPr>
        <w:spacing w:after="0" w:line="240" w:lineRule="auto"/>
      </w:pPr>
      <w:r>
        <w:separator/>
      </w:r>
    </w:p>
  </w:footnote>
  <w:footnote w:type="continuationSeparator" w:id="0">
    <w:p w:rsidR="00590D01" w:rsidRDefault="00590D01" w:rsidP="00B9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9632"/>
      <w:docPartObj>
        <w:docPartGallery w:val="Page Numbers (Top of Page)"/>
        <w:docPartUnique/>
      </w:docPartObj>
    </w:sdtPr>
    <w:sdtEndPr>
      <w:rPr>
        <w:rFonts w:ascii="Times New Roman" w:hAnsi="Times New Roman" w:cs="Times New Roman"/>
        <w:sz w:val="24"/>
        <w:szCs w:val="24"/>
      </w:rPr>
    </w:sdtEndPr>
    <w:sdtContent>
      <w:p w:rsidR="00B91072" w:rsidRPr="00B91072" w:rsidRDefault="00B91072">
        <w:pPr>
          <w:pStyle w:val="a6"/>
          <w:jc w:val="center"/>
          <w:rPr>
            <w:rFonts w:ascii="Times New Roman" w:hAnsi="Times New Roman" w:cs="Times New Roman"/>
            <w:sz w:val="24"/>
            <w:szCs w:val="24"/>
          </w:rPr>
        </w:pPr>
        <w:r w:rsidRPr="00B91072">
          <w:rPr>
            <w:rFonts w:ascii="Times New Roman" w:hAnsi="Times New Roman" w:cs="Times New Roman"/>
            <w:sz w:val="24"/>
            <w:szCs w:val="24"/>
          </w:rPr>
          <w:fldChar w:fldCharType="begin"/>
        </w:r>
        <w:r w:rsidRPr="00B91072">
          <w:rPr>
            <w:rFonts w:ascii="Times New Roman" w:hAnsi="Times New Roman" w:cs="Times New Roman"/>
            <w:sz w:val="24"/>
            <w:szCs w:val="24"/>
          </w:rPr>
          <w:instrText>PAGE   \* MERGEFORMAT</w:instrText>
        </w:r>
        <w:r w:rsidRPr="00B91072">
          <w:rPr>
            <w:rFonts w:ascii="Times New Roman" w:hAnsi="Times New Roman" w:cs="Times New Roman"/>
            <w:sz w:val="24"/>
            <w:szCs w:val="24"/>
          </w:rPr>
          <w:fldChar w:fldCharType="separate"/>
        </w:r>
        <w:r w:rsidR="00604B2F">
          <w:rPr>
            <w:rFonts w:ascii="Times New Roman" w:hAnsi="Times New Roman" w:cs="Times New Roman"/>
            <w:noProof/>
            <w:sz w:val="24"/>
            <w:szCs w:val="24"/>
          </w:rPr>
          <w:t>392</w:t>
        </w:r>
        <w:r w:rsidRPr="00B9107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B4A85"/>
    <w:rsid w:val="00182EA2"/>
    <w:rsid w:val="003C492F"/>
    <w:rsid w:val="00404E17"/>
    <w:rsid w:val="00427045"/>
    <w:rsid w:val="004271DC"/>
    <w:rsid w:val="00450297"/>
    <w:rsid w:val="004A31F9"/>
    <w:rsid w:val="004E1DB4"/>
    <w:rsid w:val="004E2BAC"/>
    <w:rsid w:val="005545C1"/>
    <w:rsid w:val="00590D01"/>
    <w:rsid w:val="005F7112"/>
    <w:rsid w:val="00604B2F"/>
    <w:rsid w:val="00651BE3"/>
    <w:rsid w:val="00661E71"/>
    <w:rsid w:val="00680C36"/>
    <w:rsid w:val="006C5354"/>
    <w:rsid w:val="0071615D"/>
    <w:rsid w:val="00725F93"/>
    <w:rsid w:val="00737FEE"/>
    <w:rsid w:val="0075212F"/>
    <w:rsid w:val="007D1C00"/>
    <w:rsid w:val="007F2F4C"/>
    <w:rsid w:val="0080500C"/>
    <w:rsid w:val="00A104D9"/>
    <w:rsid w:val="00A33C62"/>
    <w:rsid w:val="00AD224F"/>
    <w:rsid w:val="00AD3D68"/>
    <w:rsid w:val="00B65358"/>
    <w:rsid w:val="00B91072"/>
    <w:rsid w:val="00B917D7"/>
    <w:rsid w:val="00BC1AD8"/>
    <w:rsid w:val="00BF4E3E"/>
    <w:rsid w:val="00C50894"/>
    <w:rsid w:val="00C60776"/>
    <w:rsid w:val="00C945B4"/>
    <w:rsid w:val="00CF0A64"/>
    <w:rsid w:val="00D5782F"/>
    <w:rsid w:val="00DB15F4"/>
    <w:rsid w:val="00DD6AEE"/>
    <w:rsid w:val="00E67246"/>
    <w:rsid w:val="00EF45D3"/>
    <w:rsid w:val="00F15CE9"/>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AB57"/>
  <w15:docId w15:val="{4AC61B2D-7C6A-4C8D-850E-D39E135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C945B4"/>
    <w:pPr>
      <w:widowControl w:val="0"/>
      <w:autoSpaceDE w:val="0"/>
      <w:autoSpaceDN w:val="0"/>
      <w:spacing w:after="0" w:line="240" w:lineRule="auto"/>
    </w:pPr>
    <w:rPr>
      <w:rFonts w:ascii="Arial" w:eastAsiaTheme="minorEastAsia" w:hAnsi="Arial" w:cs="Arial"/>
      <w:sz w:val="20"/>
      <w:lang w:eastAsia="ru-RU"/>
    </w:rPr>
  </w:style>
  <w:style w:type="paragraph" w:styleId="a6">
    <w:name w:val="header"/>
    <w:basedOn w:val="a"/>
    <w:link w:val="a7"/>
    <w:uiPriority w:val="99"/>
    <w:unhideWhenUsed/>
    <w:rsid w:val="00B91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072"/>
  </w:style>
  <w:style w:type="paragraph" w:styleId="a8">
    <w:name w:val="footer"/>
    <w:basedOn w:val="a"/>
    <w:link w:val="a9"/>
    <w:uiPriority w:val="99"/>
    <w:unhideWhenUsed/>
    <w:rsid w:val="00B91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205">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8EB1-7C2B-40A8-91E3-3A592007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46</cp:revision>
  <cp:lastPrinted>2024-03-26T08:45:00Z</cp:lastPrinted>
  <dcterms:created xsi:type="dcterms:W3CDTF">2019-10-28T05:18:00Z</dcterms:created>
  <dcterms:modified xsi:type="dcterms:W3CDTF">2024-04-15T08:16:00Z</dcterms:modified>
</cp:coreProperties>
</file>