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2A" w:rsidRDefault="00AD3D68" w:rsidP="00CF402A">
      <w:pPr>
        <w:spacing w:after="1" w:line="220" w:lineRule="atLeast"/>
        <w:jc w:val="right"/>
        <w:outlineLvl w:val="0"/>
        <w:rPr>
          <w:rFonts w:ascii="Times New Roman" w:hAnsi="Times New Roman" w:cs="Times New Roman"/>
        </w:rPr>
      </w:pPr>
      <w:bookmarkStart w:id="0" w:name="_GoBack"/>
      <w:bookmarkEnd w:id="0"/>
      <w:r w:rsidRPr="009D4A94">
        <w:rPr>
          <w:rFonts w:ascii="Times New Roman" w:hAnsi="Times New Roman" w:cs="Times New Roman"/>
        </w:rPr>
        <w:t xml:space="preserve">Приложение </w:t>
      </w:r>
      <w:r w:rsidR="00CF402A">
        <w:rPr>
          <w:rFonts w:ascii="Times New Roman" w:hAnsi="Times New Roman" w:cs="Times New Roman"/>
        </w:rPr>
        <w:t>2</w:t>
      </w:r>
      <w:r w:rsidR="00306D91">
        <w:rPr>
          <w:rFonts w:ascii="Times New Roman" w:hAnsi="Times New Roman" w:cs="Times New Roman"/>
        </w:rPr>
        <w:t>5</w:t>
      </w:r>
    </w:p>
    <w:p w:rsidR="00AD3D68" w:rsidRPr="009D4A94" w:rsidRDefault="00AD3D68" w:rsidP="00CF402A">
      <w:pPr>
        <w:spacing w:after="1" w:line="220" w:lineRule="atLeast"/>
        <w:jc w:val="right"/>
        <w:outlineLvl w:val="0"/>
        <w:rPr>
          <w:rFonts w:ascii="Times New Roman" w:hAnsi="Times New Roman" w:cs="Times New Roman"/>
        </w:rPr>
      </w:pPr>
      <w:r w:rsidRPr="009D4A94">
        <w:rPr>
          <w:rFonts w:ascii="Times New Roman" w:hAnsi="Times New Roman" w:cs="Times New Roman"/>
        </w:rPr>
        <w:t>к Закону</w:t>
      </w:r>
      <w:r w:rsidR="006A5CB2" w:rsidRPr="004E5D21">
        <w:rPr>
          <w:rFonts w:ascii="Times New Roman" w:hAnsi="Times New Roman" w:cs="Times New Roman"/>
        </w:rPr>
        <w:t xml:space="preserve"> </w:t>
      </w:r>
      <w:r w:rsidRPr="009D4A94">
        <w:rPr>
          <w:rFonts w:ascii="Times New Roman" w:hAnsi="Times New Roman" w:cs="Times New Roman"/>
        </w:rPr>
        <w:t>Республики Алтай</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«О республиканском бюджете</w:t>
      </w:r>
    </w:p>
    <w:p w:rsidR="00CF402A"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Республики Алтай на 20</w:t>
      </w:r>
      <w:r w:rsidR="005545C1">
        <w:rPr>
          <w:rFonts w:ascii="Times New Roman" w:hAnsi="Times New Roman" w:cs="Times New Roman"/>
        </w:rPr>
        <w:t>2</w:t>
      </w:r>
      <w:r w:rsidR="000B217B">
        <w:rPr>
          <w:rFonts w:ascii="Times New Roman" w:hAnsi="Times New Roman" w:cs="Times New Roman"/>
        </w:rPr>
        <w:t>3</w:t>
      </w:r>
      <w:r w:rsidRPr="009D4A94">
        <w:rPr>
          <w:rFonts w:ascii="Times New Roman" w:hAnsi="Times New Roman" w:cs="Times New Roman"/>
        </w:rPr>
        <w:t xml:space="preserve"> год</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 xml:space="preserve"> </w:t>
      </w:r>
      <w:r w:rsidR="00CF402A">
        <w:rPr>
          <w:rFonts w:ascii="Times New Roman" w:hAnsi="Times New Roman" w:cs="Times New Roman"/>
        </w:rPr>
        <w:t xml:space="preserve">и </w:t>
      </w:r>
      <w:r w:rsidRPr="009D4A94">
        <w:rPr>
          <w:rFonts w:ascii="Times New Roman" w:hAnsi="Times New Roman" w:cs="Times New Roman"/>
        </w:rPr>
        <w:t>на плановый период 202</w:t>
      </w:r>
      <w:r w:rsidR="000B217B">
        <w:rPr>
          <w:rFonts w:ascii="Times New Roman" w:hAnsi="Times New Roman" w:cs="Times New Roman"/>
        </w:rPr>
        <w:t>4</w:t>
      </w:r>
      <w:r w:rsidRPr="009D4A94">
        <w:rPr>
          <w:rFonts w:ascii="Times New Roman" w:hAnsi="Times New Roman" w:cs="Times New Roman"/>
        </w:rPr>
        <w:t xml:space="preserve"> и 202</w:t>
      </w:r>
      <w:r w:rsidR="000B217B">
        <w:rPr>
          <w:rFonts w:ascii="Times New Roman" w:hAnsi="Times New Roman" w:cs="Times New Roman"/>
        </w:rPr>
        <w:t>5</w:t>
      </w:r>
      <w:r w:rsidRPr="009D4A94">
        <w:rPr>
          <w:rFonts w:ascii="Times New Roman" w:hAnsi="Times New Roman" w:cs="Times New Roman"/>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Pr="00FE060E"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 Республики Алтай</w:t>
      </w:r>
    </w:p>
    <w:p w:rsidR="00AD3D68" w:rsidRPr="0000318F" w:rsidRDefault="00AD3D68" w:rsidP="00EA1427">
      <w:pPr>
        <w:spacing w:after="1" w:line="220" w:lineRule="atLeast"/>
        <w:jc w:val="center"/>
        <w:rPr>
          <w:rFonts w:ascii="Times New Roman" w:hAnsi="Times New Roman" w:cs="Times New Roman"/>
          <w:sz w:val="24"/>
          <w:szCs w:val="24"/>
        </w:rPr>
      </w:pPr>
      <w:r w:rsidRPr="00FE060E">
        <w:rPr>
          <w:rFonts w:ascii="Times New Roman" w:hAnsi="Times New Roman" w:cs="Times New Roman"/>
          <w:b/>
          <w:sz w:val="28"/>
          <w:szCs w:val="28"/>
        </w:rPr>
        <w:t>на плановый период 202</w:t>
      </w:r>
      <w:r w:rsidR="000B217B">
        <w:rPr>
          <w:rFonts w:ascii="Times New Roman" w:hAnsi="Times New Roman" w:cs="Times New Roman"/>
          <w:b/>
          <w:sz w:val="28"/>
          <w:szCs w:val="28"/>
        </w:rPr>
        <w:t>4</w:t>
      </w:r>
      <w:r w:rsidRPr="00FE060E">
        <w:rPr>
          <w:rFonts w:ascii="Times New Roman" w:hAnsi="Times New Roman" w:cs="Times New Roman"/>
          <w:b/>
          <w:sz w:val="28"/>
          <w:szCs w:val="28"/>
        </w:rPr>
        <w:t xml:space="preserve"> и 202</w:t>
      </w:r>
      <w:r w:rsidR="000B217B">
        <w:rPr>
          <w:rFonts w:ascii="Times New Roman" w:hAnsi="Times New Roman" w:cs="Times New Roman"/>
          <w:b/>
          <w:sz w:val="28"/>
          <w:szCs w:val="28"/>
        </w:rPr>
        <w:t>5</w:t>
      </w:r>
      <w:r w:rsidRPr="00FE060E">
        <w:rPr>
          <w:rFonts w:ascii="Times New Roman" w:hAnsi="Times New Roman" w:cs="Times New Roman"/>
          <w:b/>
          <w:sz w:val="28"/>
          <w:szCs w:val="28"/>
        </w:rPr>
        <w:t xml:space="preserve"> годов</w:t>
      </w: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14497" w:type="dxa"/>
        <w:jc w:val="center"/>
        <w:tblLayout w:type="fixed"/>
        <w:tblLook w:val="04A0" w:firstRow="1" w:lastRow="0" w:firstColumn="1" w:lastColumn="0" w:noHBand="0" w:noVBand="1"/>
      </w:tblPr>
      <w:tblGrid>
        <w:gridCol w:w="4297"/>
        <w:gridCol w:w="1560"/>
        <w:gridCol w:w="1842"/>
        <w:gridCol w:w="1763"/>
        <w:gridCol w:w="1559"/>
        <w:gridCol w:w="1701"/>
        <w:gridCol w:w="1775"/>
      </w:tblGrid>
      <w:tr w:rsidR="005545C1" w:rsidTr="00CF402A">
        <w:trPr>
          <w:jc w:val="center"/>
        </w:trPr>
        <w:tc>
          <w:tcPr>
            <w:tcW w:w="4297" w:type="dxa"/>
            <w:vMerge w:val="restart"/>
            <w:vAlign w:val="center"/>
          </w:tcPr>
          <w:p w:rsidR="005545C1" w:rsidRPr="0000318F" w:rsidRDefault="005545C1" w:rsidP="00AD3D68">
            <w:pPr>
              <w:spacing w:after="1" w:line="220" w:lineRule="atLeast"/>
              <w:jc w:val="center"/>
              <w:rPr>
                <w:rFonts w:ascii="Times New Roman" w:hAnsi="Times New Roman" w:cs="Times New Roman"/>
                <w:sz w:val="24"/>
                <w:szCs w:val="24"/>
              </w:rPr>
            </w:pPr>
          </w:p>
        </w:tc>
        <w:tc>
          <w:tcPr>
            <w:tcW w:w="5165" w:type="dxa"/>
            <w:gridSpan w:val="3"/>
          </w:tcPr>
          <w:p w:rsidR="005545C1" w:rsidRPr="00FE060E" w:rsidRDefault="005545C1" w:rsidP="001D29D9">
            <w:pPr>
              <w:spacing w:after="1" w:line="220" w:lineRule="atLeast"/>
              <w:jc w:val="center"/>
              <w:rPr>
                <w:rFonts w:ascii="Times New Roman" w:hAnsi="Times New Roman" w:cs="Times New Roman"/>
                <w:b/>
              </w:rPr>
            </w:pPr>
            <w:r w:rsidRPr="00FE060E">
              <w:rPr>
                <w:rFonts w:ascii="Times New Roman" w:hAnsi="Times New Roman" w:cs="Times New Roman"/>
                <w:b/>
              </w:rPr>
              <w:t>202</w:t>
            </w:r>
            <w:r w:rsidR="000B217B">
              <w:rPr>
                <w:rFonts w:ascii="Times New Roman" w:hAnsi="Times New Roman" w:cs="Times New Roman"/>
                <w:b/>
              </w:rPr>
              <w:t>4</w:t>
            </w:r>
            <w:r w:rsidRPr="00FE060E">
              <w:rPr>
                <w:rFonts w:ascii="Times New Roman" w:hAnsi="Times New Roman" w:cs="Times New Roman"/>
                <w:b/>
              </w:rPr>
              <w:t xml:space="preserve"> год</w:t>
            </w:r>
          </w:p>
        </w:tc>
        <w:tc>
          <w:tcPr>
            <w:tcW w:w="5035" w:type="dxa"/>
            <w:gridSpan w:val="3"/>
          </w:tcPr>
          <w:p w:rsidR="005545C1" w:rsidRPr="00FE060E" w:rsidRDefault="005545C1" w:rsidP="000B217B">
            <w:pPr>
              <w:spacing w:after="1" w:line="220" w:lineRule="atLeast"/>
              <w:jc w:val="center"/>
              <w:rPr>
                <w:rFonts w:ascii="Times New Roman" w:hAnsi="Times New Roman" w:cs="Times New Roman"/>
                <w:b/>
              </w:rPr>
            </w:pPr>
            <w:r w:rsidRPr="00FE060E">
              <w:rPr>
                <w:rFonts w:ascii="Times New Roman" w:hAnsi="Times New Roman" w:cs="Times New Roman"/>
                <w:b/>
              </w:rPr>
              <w:t>202</w:t>
            </w:r>
            <w:r w:rsidR="000B217B">
              <w:rPr>
                <w:rFonts w:ascii="Times New Roman" w:hAnsi="Times New Roman" w:cs="Times New Roman"/>
                <w:b/>
              </w:rPr>
              <w:t>5</w:t>
            </w:r>
            <w:r w:rsidRPr="00FE060E">
              <w:rPr>
                <w:rFonts w:ascii="Times New Roman" w:hAnsi="Times New Roman" w:cs="Times New Roman"/>
                <w:b/>
              </w:rPr>
              <w:t xml:space="preserve"> год</w:t>
            </w:r>
          </w:p>
        </w:tc>
      </w:tr>
      <w:tr w:rsidR="004E2BAC" w:rsidTr="00CF402A">
        <w:trPr>
          <w:jc w:val="center"/>
        </w:trPr>
        <w:tc>
          <w:tcPr>
            <w:tcW w:w="4297"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3402"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763" w:type="dxa"/>
            <w:vMerge w:val="restart"/>
          </w:tcPr>
          <w:p w:rsidR="00CF402A" w:rsidRDefault="00CF402A" w:rsidP="004E2BAC">
            <w:pPr>
              <w:spacing w:after="1" w:line="220" w:lineRule="atLeast"/>
              <w:jc w:val="center"/>
              <w:rPr>
                <w:rFonts w:ascii="Times New Roman" w:hAnsi="Times New Roman" w:cs="Times New Roman"/>
                <w:b/>
              </w:rPr>
            </w:pPr>
          </w:p>
          <w:p w:rsidR="004E2BAC" w:rsidRPr="00FE060E" w:rsidRDefault="004E2BAC"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c>
          <w:tcPr>
            <w:tcW w:w="3260"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775" w:type="dxa"/>
            <w:vMerge w:val="restart"/>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средств, направляемых на погашение основной суммы долга</w:t>
            </w:r>
          </w:p>
        </w:tc>
      </w:tr>
      <w:tr w:rsidR="004E2BAC" w:rsidTr="00CF402A">
        <w:trPr>
          <w:jc w:val="center"/>
        </w:trPr>
        <w:tc>
          <w:tcPr>
            <w:tcW w:w="4297"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1560"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842"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763" w:type="dxa"/>
            <w:vMerge/>
            <w:vAlign w:val="center"/>
          </w:tcPr>
          <w:p w:rsidR="004E2BAC" w:rsidRPr="00FE060E" w:rsidRDefault="004E2BAC" w:rsidP="004E2BAC">
            <w:pPr>
              <w:spacing w:after="1" w:line="220" w:lineRule="atLeast"/>
              <w:jc w:val="center"/>
              <w:rPr>
                <w:rFonts w:ascii="Times New Roman" w:hAnsi="Times New Roman" w:cs="Times New Roman"/>
                <w:b/>
              </w:rPr>
            </w:pPr>
          </w:p>
        </w:tc>
        <w:tc>
          <w:tcPr>
            <w:tcW w:w="1559"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775" w:type="dxa"/>
            <w:vMerge/>
            <w:vAlign w:val="center"/>
          </w:tcPr>
          <w:p w:rsidR="004E2BAC" w:rsidRPr="00FE060E" w:rsidRDefault="004E2BAC" w:rsidP="004E2BAC">
            <w:pPr>
              <w:spacing w:after="1" w:line="220" w:lineRule="atLeast"/>
              <w:jc w:val="center"/>
              <w:rPr>
                <w:rFonts w:ascii="Times New Roman" w:hAnsi="Times New Roman" w:cs="Times New Roman"/>
                <w:b/>
                <w:sz w:val="20"/>
                <w:szCs w:val="20"/>
              </w:rPr>
            </w:pPr>
          </w:p>
        </w:tc>
      </w:tr>
      <w:tr w:rsidR="007F2F4C" w:rsidTr="00CF402A">
        <w:trPr>
          <w:jc w:val="center"/>
        </w:trPr>
        <w:tc>
          <w:tcPr>
            <w:tcW w:w="4297" w:type="dxa"/>
            <w:vAlign w:val="center"/>
          </w:tcPr>
          <w:p w:rsidR="007F2F4C" w:rsidRPr="00FE060E" w:rsidRDefault="007F2F4C"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60"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1 425 841,0</w:t>
            </w:r>
          </w:p>
        </w:tc>
        <w:tc>
          <w:tcPr>
            <w:tcW w:w="1842" w:type="dxa"/>
            <w:vAlign w:val="center"/>
          </w:tcPr>
          <w:p w:rsidR="007F2F4C" w:rsidRPr="00FE060E" w:rsidRDefault="007F2F4C"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763"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w:t>
            </w:r>
            <w:r w:rsidR="004E5D21">
              <w:rPr>
                <w:rFonts w:ascii="Times New Roman" w:hAnsi="Times New Roman" w:cs="Times New Roman"/>
                <w:b/>
              </w:rPr>
              <w:t xml:space="preserve"> </w:t>
            </w:r>
            <w:r>
              <w:rPr>
                <w:rFonts w:ascii="Times New Roman" w:hAnsi="Times New Roman" w:cs="Times New Roman"/>
                <w:b/>
              </w:rPr>
              <w:t>1 141 167,0</w:t>
            </w:r>
          </w:p>
        </w:tc>
        <w:tc>
          <w:tcPr>
            <w:tcW w:w="1559"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1 207 460,2</w:t>
            </w:r>
          </w:p>
        </w:tc>
        <w:tc>
          <w:tcPr>
            <w:tcW w:w="1701" w:type="dxa"/>
            <w:vAlign w:val="center"/>
          </w:tcPr>
          <w:p w:rsidR="007F2F4C" w:rsidRPr="00FE060E" w:rsidRDefault="007F2F4C"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775"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 xml:space="preserve">- 1 591 210,2 </w:t>
            </w:r>
          </w:p>
        </w:tc>
      </w:tr>
      <w:tr w:rsidR="007F2F4C" w:rsidTr="00CF402A">
        <w:trPr>
          <w:jc w:val="center"/>
        </w:trPr>
        <w:tc>
          <w:tcPr>
            <w:tcW w:w="4297" w:type="dxa"/>
            <w:vAlign w:val="center"/>
          </w:tcPr>
          <w:p w:rsidR="007F2F4C" w:rsidRPr="00FE060E" w:rsidRDefault="007F2F4C"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60" w:type="dxa"/>
            <w:vAlign w:val="center"/>
          </w:tcPr>
          <w:p w:rsidR="007F2F4C" w:rsidRPr="00FE060E" w:rsidRDefault="007F2F4C" w:rsidP="007F2F4C">
            <w:pPr>
              <w:spacing w:line="220" w:lineRule="atLeast"/>
              <w:jc w:val="center"/>
              <w:rPr>
                <w:rFonts w:ascii="Times New Roman" w:hAnsi="Times New Roman" w:cs="Times New Roman"/>
              </w:rPr>
            </w:pPr>
          </w:p>
        </w:tc>
        <w:tc>
          <w:tcPr>
            <w:tcW w:w="1842" w:type="dxa"/>
          </w:tcPr>
          <w:p w:rsidR="007F2F4C" w:rsidRPr="00FE060E" w:rsidRDefault="007F2F4C" w:rsidP="007F2F4C">
            <w:pPr>
              <w:spacing w:line="220" w:lineRule="atLeast"/>
              <w:jc w:val="center"/>
              <w:rPr>
                <w:rFonts w:ascii="Times New Roman" w:hAnsi="Times New Roman" w:cs="Times New Roman"/>
              </w:rPr>
            </w:pPr>
          </w:p>
        </w:tc>
        <w:tc>
          <w:tcPr>
            <w:tcW w:w="1763" w:type="dxa"/>
            <w:vAlign w:val="center"/>
          </w:tcPr>
          <w:p w:rsidR="007F2F4C" w:rsidRPr="00FE060E" w:rsidRDefault="007F2F4C" w:rsidP="007F2F4C">
            <w:pPr>
              <w:spacing w:line="220" w:lineRule="atLeast"/>
              <w:jc w:val="center"/>
              <w:rPr>
                <w:rFonts w:ascii="Times New Roman" w:hAnsi="Times New Roman" w:cs="Times New Roman"/>
              </w:rPr>
            </w:pPr>
          </w:p>
        </w:tc>
        <w:tc>
          <w:tcPr>
            <w:tcW w:w="1559" w:type="dxa"/>
            <w:vAlign w:val="center"/>
          </w:tcPr>
          <w:p w:rsidR="007F2F4C" w:rsidRPr="00FE060E" w:rsidRDefault="007F2F4C" w:rsidP="007F2F4C">
            <w:pPr>
              <w:spacing w:line="220" w:lineRule="atLeast"/>
              <w:jc w:val="center"/>
              <w:rPr>
                <w:rFonts w:ascii="Times New Roman" w:hAnsi="Times New Roman" w:cs="Times New Roman"/>
              </w:rPr>
            </w:pPr>
          </w:p>
        </w:tc>
        <w:tc>
          <w:tcPr>
            <w:tcW w:w="1701" w:type="dxa"/>
          </w:tcPr>
          <w:p w:rsidR="007F2F4C" w:rsidRPr="00FE060E" w:rsidRDefault="007F2F4C" w:rsidP="007F2F4C">
            <w:pPr>
              <w:spacing w:line="220" w:lineRule="atLeast"/>
              <w:jc w:val="center"/>
              <w:rPr>
                <w:rFonts w:ascii="Times New Roman" w:hAnsi="Times New Roman" w:cs="Times New Roman"/>
              </w:rPr>
            </w:pPr>
          </w:p>
        </w:tc>
        <w:tc>
          <w:tcPr>
            <w:tcW w:w="1775" w:type="dxa"/>
            <w:vAlign w:val="center"/>
          </w:tcPr>
          <w:p w:rsidR="007F2F4C" w:rsidRPr="00FE060E" w:rsidRDefault="007F2F4C" w:rsidP="007F2F4C">
            <w:pPr>
              <w:spacing w:line="220" w:lineRule="atLeast"/>
              <w:jc w:val="center"/>
              <w:rPr>
                <w:rFonts w:ascii="Times New Roman" w:hAnsi="Times New Roman" w:cs="Times New Roman"/>
              </w:rPr>
            </w:pPr>
          </w:p>
        </w:tc>
      </w:tr>
      <w:tr w:rsidR="0035606B" w:rsidTr="00CF402A">
        <w:trPr>
          <w:jc w:val="center"/>
        </w:trPr>
        <w:tc>
          <w:tcPr>
            <w:tcW w:w="4297" w:type="dxa"/>
            <w:vAlign w:val="center"/>
          </w:tcPr>
          <w:p w:rsidR="0035606B" w:rsidRPr="00FE060E" w:rsidRDefault="0035606B" w:rsidP="0035606B">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60" w:type="dxa"/>
            <w:vAlign w:val="center"/>
          </w:tcPr>
          <w:p w:rsidR="0035606B" w:rsidRPr="00FE060E" w:rsidRDefault="000B217B" w:rsidP="000C75D8">
            <w:pPr>
              <w:spacing w:line="220" w:lineRule="atLeast"/>
              <w:jc w:val="center"/>
              <w:rPr>
                <w:rFonts w:ascii="Times New Roman" w:hAnsi="Times New Roman" w:cs="Times New Roman"/>
              </w:rPr>
            </w:pPr>
            <w:r>
              <w:rPr>
                <w:rFonts w:ascii="Times New Roman" w:hAnsi="Times New Roman" w:cs="Times New Roman"/>
              </w:rPr>
              <w:t>541 167,0</w:t>
            </w:r>
          </w:p>
        </w:tc>
        <w:tc>
          <w:tcPr>
            <w:tcW w:w="1842" w:type="dxa"/>
            <w:vAlign w:val="center"/>
          </w:tcPr>
          <w:p w:rsidR="0035606B" w:rsidRPr="00FE060E" w:rsidRDefault="00B614D6" w:rsidP="0035606B">
            <w:pPr>
              <w:spacing w:line="220" w:lineRule="atLeast"/>
              <w:jc w:val="center"/>
              <w:rPr>
                <w:rFonts w:ascii="Times New Roman" w:hAnsi="Times New Roman" w:cs="Times New Roman"/>
              </w:rPr>
            </w:pPr>
            <w:r>
              <w:rPr>
                <w:rFonts w:ascii="Times New Roman" w:hAnsi="Times New Roman" w:cs="Times New Roman"/>
              </w:rPr>
              <w:t>730</w:t>
            </w:r>
            <w:r w:rsidRPr="00FE060E">
              <w:rPr>
                <w:rFonts w:ascii="Times New Roman" w:hAnsi="Times New Roman" w:cs="Times New Roman"/>
              </w:rPr>
              <w:t xml:space="preserve"> дней</w:t>
            </w:r>
          </w:p>
        </w:tc>
        <w:tc>
          <w:tcPr>
            <w:tcW w:w="1763" w:type="dxa"/>
            <w:vAlign w:val="center"/>
          </w:tcPr>
          <w:p w:rsidR="0035606B" w:rsidRPr="00FE060E" w:rsidRDefault="000B217B" w:rsidP="001D29D9">
            <w:pPr>
              <w:spacing w:line="220" w:lineRule="atLeast"/>
              <w:jc w:val="center"/>
              <w:rPr>
                <w:rFonts w:ascii="Times New Roman" w:hAnsi="Times New Roman" w:cs="Times New Roman"/>
              </w:rPr>
            </w:pPr>
            <w:r>
              <w:rPr>
                <w:rFonts w:ascii="Times New Roman" w:hAnsi="Times New Roman" w:cs="Times New Roman"/>
              </w:rPr>
              <w:t>-</w:t>
            </w:r>
            <w:r w:rsidR="00CA11D3">
              <w:rPr>
                <w:rFonts w:ascii="Times New Roman" w:hAnsi="Times New Roman" w:cs="Times New Roman"/>
              </w:rPr>
              <w:t xml:space="preserve"> </w:t>
            </w:r>
            <w:r>
              <w:rPr>
                <w:rFonts w:ascii="Times New Roman" w:hAnsi="Times New Roman" w:cs="Times New Roman"/>
              </w:rPr>
              <w:t>462 999,0</w:t>
            </w:r>
          </w:p>
        </w:tc>
        <w:tc>
          <w:tcPr>
            <w:tcW w:w="1559" w:type="dxa"/>
            <w:vAlign w:val="center"/>
          </w:tcPr>
          <w:p w:rsidR="0035606B" w:rsidRPr="00FE060E" w:rsidRDefault="000B217B" w:rsidP="0035606B">
            <w:pPr>
              <w:spacing w:line="220" w:lineRule="atLeast"/>
              <w:jc w:val="center"/>
              <w:rPr>
                <w:rFonts w:ascii="Times New Roman" w:hAnsi="Times New Roman" w:cs="Times New Roman"/>
              </w:rPr>
            </w:pPr>
            <w:r>
              <w:rPr>
                <w:rFonts w:ascii="Times New Roman" w:hAnsi="Times New Roman" w:cs="Times New Roman"/>
              </w:rPr>
              <w:t>607 460,2</w:t>
            </w:r>
          </w:p>
        </w:tc>
        <w:tc>
          <w:tcPr>
            <w:tcW w:w="1701" w:type="dxa"/>
            <w:vAlign w:val="center"/>
          </w:tcPr>
          <w:p w:rsidR="0035606B" w:rsidRPr="00FE060E" w:rsidRDefault="00B614D6" w:rsidP="0035606B">
            <w:pPr>
              <w:spacing w:line="220" w:lineRule="atLeast"/>
              <w:jc w:val="center"/>
              <w:rPr>
                <w:rFonts w:ascii="Times New Roman" w:hAnsi="Times New Roman" w:cs="Times New Roman"/>
              </w:rPr>
            </w:pPr>
            <w:r>
              <w:rPr>
                <w:rFonts w:ascii="Times New Roman" w:hAnsi="Times New Roman" w:cs="Times New Roman"/>
              </w:rPr>
              <w:t>730</w:t>
            </w:r>
            <w:r w:rsidRPr="00FE060E">
              <w:rPr>
                <w:rFonts w:ascii="Times New Roman" w:hAnsi="Times New Roman" w:cs="Times New Roman"/>
              </w:rPr>
              <w:t xml:space="preserve"> дней</w:t>
            </w:r>
          </w:p>
        </w:tc>
        <w:tc>
          <w:tcPr>
            <w:tcW w:w="1775" w:type="dxa"/>
            <w:vAlign w:val="center"/>
          </w:tcPr>
          <w:p w:rsidR="0035606B" w:rsidRPr="00FE060E" w:rsidRDefault="000B217B" w:rsidP="001D29D9">
            <w:pPr>
              <w:spacing w:line="220" w:lineRule="atLeast"/>
              <w:jc w:val="center"/>
              <w:rPr>
                <w:rFonts w:ascii="Times New Roman" w:hAnsi="Times New Roman" w:cs="Times New Roman"/>
              </w:rPr>
            </w:pPr>
            <w:r>
              <w:rPr>
                <w:rFonts w:ascii="Times New Roman" w:hAnsi="Times New Roman" w:cs="Times New Roman"/>
              </w:rPr>
              <w:t>- 541 167,0</w:t>
            </w:r>
          </w:p>
        </w:tc>
      </w:tr>
      <w:tr w:rsidR="004E5D21" w:rsidTr="00CF402A">
        <w:trPr>
          <w:jc w:val="center"/>
        </w:trPr>
        <w:tc>
          <w:tcPr>
            <w:tcW w:w="4297"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0"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842"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- 49 053,0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0,0</w:t>
            </w:r>
          </w:p>
        </w:tc>
        <w:tc>
          <w:tcPr>
            <w:tcW w:w="1701"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75" w:type="dxa"/>
            <w:vAlign w:val="center"/>
          </w:tcPr>
          <w:p w:rsidR="004E5D21" w:rsidRPr="00FE060E" w:rsidRDefault="004E5D21" w:rsidP="00CA11D3">
            <w:pPr>
              <w:spacing w:line="220" w:lineRule="atLeast"/>
              <w:jc w:val="center"/>
              <w:rPr>
                <w:rFonts w:ascii="Times New Roman" w:hAnsi="Times New Roman" w:cs="Times New Roman"/>
              </w:rPr>
            </w:pPr>
            <w:r>
              <w:rPr>
                <w:rFonts w:ascii="Times New Roman" w:hAnsi="Times New Roman" w:cs="Times New Roman"/>
              </w:rPr>
              <w:t>- 181 405,</w:t>
            </w:r>
            <w:r w:rsidR="00CA11D3">
              <w:rPr>
                <w:rFonts w:ascii="Times New Roman" w:hAnsi="Times New Roman" w:cs="Times New Roman"/>
              </w:rPr>
              <w:t>7</w:t>
            </w:r>
          </w:p>
        </w:tc>
      </w:tr>
      <w:tr w:rsidR="004E5D21" w:rsidTr="00CF402A">
        <w:trPr>
          <w:jc w:val="center"/>
        </w:trPr>
        <w:tc>
          <w:tcPr>
            <w:tcW w:w="4297"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w:t>
            </w:r>
            <w:r w:rsidRPr="00C97503">
              <w:rPr>
                <w:rFonts w:ascii="Times New Roman" w:hAnsi="Times New Roman" w:cs="Times New Roman"/>
              </w:rPr>
              <w:lastRenderedPageBreak/>
              <w:t>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0"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lastRenderedPageBreak/>
              <w:t>6</w:t>
            </w:r>
            <w:r w:rsidRPr="00FE060E">
              <w:rPr>
                <w:rFonts w:ascii="Times New Roman" w:hAnsi="Times New Roman" w:cs="Times New Roman"/>
              </w:rPr>
              <w:t>00 000,0</w:t>
            </w:r>
          </w:p>
        </w:tc>
        <w:tc>
          <w:tcPr>
            <w:tcW w:w="1842"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240</w:t>
            </w:r>
            <w:r w:rsidRPr="00FE060E">
              <w:rPr>
                <w:rFonts w:ascii="Times New Roman" w:hAnsi="Times New Roman" w:cs="Times New Roman"/>
              </w:rPr>
              <w:t xml:space="preserve"> дней</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6</w:t>
            </w:r>
            <w:r w:rsidRPr="00FE060E">
              <w:rPr>
                <w:rFonts w:ascii="Times New Roman" w:hAnsi="Times New Roman" w:cs="Times New Roman"/>
              </w:rPr>
              <w:t>00 000,0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600 000,0</w:t>
            </w:r>
          </w:p>
        </w:tc>
        <w:tc>
          <w:tcPr>
            <w:tcW w:w="1701"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240</w:t>
            </w:r>
            <w:r w:rsidRPr="00FE060E">
              <w:rPr>
                <w:rFonts w:ascii="Times New Roman" w:hAnsi="Times New Roman" w:cs="Times New Roman"/>
              </w:rPr>
              <w:t xml:space="preserve"> дней</w:t>
            </w:r>
          </w:p>
        </w:tc>
        <w:tc>
          <w:tcPr>
            <w:tcW w:w="1775"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w:t>
            </w:r>
            <w:r w:rsidRPr="00FE060E">
              <w:rPr>
                <w:rFonts w:ascii="Times New Roman" w:hAnsi="Times New Roman" w:cs="Times New Roman"/>
              </w:rPr>
              <w:t>600 000,0</w:t>
            </w:r>
          </w:p>
        </w:tc>
      </w:tr>
      <w:tr w:rsidR="004E5D21" w:rsidTr="00CF402A">
        <w:trPr>
          <w:jc w:val="center"/>
        </w:trPr>
        <w:tc>
          <w:tcPr>
            <w:tcW w:w="4297"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60" w:type="dxa"/>
            <w:vAlign w:val="center"/>
          </w:tcPr>
          <w:p w:rsidR="004E5D21" w:rsidRDefault="004E5D21" w:rsidP="004E5D21">
            <w:pPr>
              <w:spacing w:line="220" w:lineRule="atLeast"/>
              <w:jc w:val="center"/>
              <w:rPr>
                <w:rFonts w:ascii="Times New Roman" w:hAnsi="Times New Roman" w:cs="Times New Roman"/>
              </w:rPr>
            </w:pPr>
            <w:r>
              <w:rPr>
                <w:rFonts w:ascii="Times New Roman" w:hAnsi="Times New Roman" w:cs="Times New Roman"/>
              </w:rPr>
              <w:t>284 674,0</w:t>
            </w:r>
          </w:p>
        </w:tc>
        <w:tc>
          <w:tcPr>
            <w:tcW w:w="1842"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- 29 115,0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701"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75"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- 58 230,0</w:t>
            </w:r>
          </w:p>
        </w:tc>
      </w:tr>
      <w:tr w:rsidR="004E5D21" w:rsidTr="00CF402A">
        <w:trPr>
          <w:jc w:val="center"/>
        </w:trPr>
        <w:tc>
          <w:tcPr>
            <w:tcW w:w="4297"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Pr>
                <w:rFonts w:ascii="Times New Roman" w:hAnsi="Times New Roman" w:cs="Times New Roman"/>
                <w:sz w:val="24"/>
                <w:szCs w:val="24"/>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60" w:type="dxa"/>
            <w:vAlign w:val="center"/>
          </w:tcPr>
          <w:p w:rsidR="004E5D21"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842"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701"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75"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- 210 407,5</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4B02A9">
      <w:headerReference w:type="default" r:id="rId6"/>
      <w:pgSz w:w="16838" w:h="11906" w:orient="landscape"/>
      <w:pgMar w:top="1418" w:right="1134" w:bottom="851" w:left="1418" w:header="709" w:footer="709" w:gutter="0"/>
      <w:pgNumType w:start="47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A9" w:rsidRDefault="004B02A9" w:rsidP="004B02A9">
      <w:pPr>
        <w:spacing w:after="0" w:line="240" w:lineRule="auto"/>
      </w:pPr>
      <w:r>
        <w:separator/>
      </w:r>
    </w:p>
  </w:endnote>
  <w:endnote w:type="continuationSeparator" w:id="0">
    <w:p w:rsidR="004B02A9" w:rsidRDefault="004B02A9" w:rsidP="004B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A9" w:rsidRDefault="004B02A9" w:rsidP="004B02A9">
      <w:pPr>
        <w:spacing w:after="0" w:line="240" w:lineRule="auto"/>
      </w:pPr>
      <w:r>
        <w:separator/>
      </w:r>
    </w:p>
  </w:footnote>
  <w:footnote w:type="continuationSeparator" w:id="0">
    <w:p w:rsidR="004B02A9" w:rsidRDefault="004B02A9" w:rsidP="004B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78070"/>
      <w:docPartObj>
        <w:docPartGallery w:val="Page Numbers (Top of Page)"/>
        <w:docPartUnique/>
      </w:docPartObj>
    </w:sdtPr>
    <w:sdtEndPr>
      <w:rPr>
        <w:rFonts w:ascii="Times New Roman" w:hAnsi="Times New Roman" w:cs="Times New Roman"/>
        <w:sz w:val="24"/>
        <w:szCs w:val="24"/>
      </w:rPr>
    </w:sdtEndPr>
    <w:sdtContent>
      <w:p w:rsidR="004B02A9" w:rsidRPr="004B02A9" w:rsidRDefault="004B02A9">
        <w:pPr>
          <w:pStyle w:val="a6"/>
          <w:jc w:val="center"/>
          <w:rPr>
            <w:rFonts w:ascii="Times New Roman" w:hAnsi="Times New Roman" w:cs="Times New Roman"/>
            <w:sz w:val="24"/>
            <w:szCs w:val="24"/>
          </w:rPr>
        </w:pPr>
        <w:r w:rsidRPr="004B02A9">
          <w:rPr>
            <w:rFonts w:ascii="Times New Roman" w:hAnsi="Times New Roman" w:cs="Times New Roman"/>
            <w:sz w:val="24"/>
            <w:szCs w:val="24"/>
          </w:rPr>
          <w:fldChar w:fldCharType="begin"/>
        </w:r>
        <w:r w:rsidRPr="004B02A9">
          <w:rPr>
            <w:rFonts w:ascii="Times New Roman" w:hAnsi="Times New Roman" w:cs="Times New Roman"/>
            <w:sz w:val="24"/>
            <w:szCs w:val="24"/>
          </w:rPr>
          <w:instrText>PAGE   \* MERGEFORMAT</w:instrText>
        </w:r>
        <w:r w:rsidRPr="004B02A9">
          <w:rPr>
            <w:rFonts w:ascii="Times New Roman" w:hAnsi="Times New Roman" w:cs="Times New Roman"/>
            <w:sz w:val="24"/>
            <w:szCs w:val="24"/>
          </w:rPr>
          <w:fldChar w:fldCharType="separate"/>
        </w:r>
        <w:r>
          <w:rPr>
            <w:rFonts w:ascii="Times New Roman" w:hAnsi="Times New Roman" w:cs="Times New Roman"/>
            <w:noProof/>
            <w:sz w:val="24"/>
            <w:szCs w:val="24"/>
          </w:rPr>
          <w:t>473</w:t>
        </w:r>
        <w:r w:rsidRPr="004B02A9">
          <w:rPr>
            <w:rFonts w:ascii="Times New Roman" w:hAnsi="Times New Roman" w:cs="Times New Roman"/>
            <w:sz w:val="24"/>
            <w:szCs w:val="24"/>
          </w:rPr>
          <w:fldChar w:fldCharType="end"/>
        </w:r>
      </w:p>
    </w:sdtContent>
  </w:sdt>
  <w:p w:rsidR="004B02A9" w:rsidRDefault="004B02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D68"/>
    <w:rsid w:val="000B217B"/>
    <w:rsid w:val="000C75D8"/>
    <w:rsid w:val="001D29D9"/>
    <w:rsid w:val="00252E3D"/>
    <w:rsid w:val="002D7DAF"/>
    <w:rsid w:val="00306D91"/>
    <w:rsid w:val="0035606B"/>
    <w:rsid w:val="004B02A9"/>
    <w:rsid w:val="004B38EC"/>
    <w:rsid w:val="004E2BAC"/>
    <w:rsid w:val="004E5D21"/>
    <w:rsid w:val="00523A59"/>
    <w:rsid w:val="005545C1"/>
    <w:rsid w:val="006A5CB2"/>
    <w:rsid w:val="006C5354"/>
    <w:rsid w:val="007F2F4C"/>
    <w:rsid w:val="00A104D9"/>
    <w:rsid w:val="00AD3D68"/>
    <w:rsid w:val="00B614D6"/>
    <w:rsid w:val="00CA11D3"/>
    <w:rsid w:val="00CB2342"/>
    <w:rsid w:val="00CF402A"/>
    <w:rsid w:val="00EA1427"/>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4B02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02A9"/>
  </w:style>
  <w:style w:type="paragraph" w:styleId="a8">
    <w:name w:val="footer"/>
    <w:basedOn w:val="a"/>
    <w:link w:val="a9"/>
    <w:uiPriority w:val="99"/>
    <w:unhideWhenUsed/>
    <w:rsid w:val="004B02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22</cp:revision>
  <cp:lastPrinted>2019-10-28T05:17:00Z</cp:lastPrinted>
  <dcterms:created xsi:type="dcterms:W3CDTF">2019-03-20T09:53:00Z</dcterms:created>
  <dcterms:modified xsi:type="dcterms:W3CDTF">2022-10-14T07:51:00Z</dcterms:modified>
</cp:coreProperties>
</file>