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3" w:type="dxa"/>
        <w:tblInd w:w="75" w:type="dxa"/>
        <w:tblLook w:val="04A0" w:firstRow="1" w:lastRow="0" w:firstColumn="1" w:lastColumn="0" w:noHBand="0" w:noVBand="1"/>
      </w:tblPr>
      <w:tblGrid>
        <w:gridCol w:w="2780"/>
        <w:gridCol w:w="4093"/>
        <w:gridCol w:w="1274"/>
        <w:gridCol w:w="1826"/>
      </w:tblGrid>
      <w:tr w:rsidR="005F5386" w:rsidRPr="00EB3226" w:rsidTr="00DD63C9">
        <w:trPr>
          <w:trHeight w:val="418"/>
        </w:trPr>
        <w:tc>
          <w:tcPr>
            <w:tcW w:w="2780" w:type="dxa"/>
            <w:noWrap/>
            <w:vAlign w:val="bottom"/>
          </w:tcPr>
          <w:p w:rsidR="005F5386" w:rsidRPr="00EB3226" w:rsidRDefault="005F5386" w:rsidP="00EB3226">
            <w:pPr>
              <w:rPr>
                <w:szCs w:val="28"/>
              </w:rPr>
            </w:pPr>
          </w:p>
        </w:tc>
        <w:tc>
          <w:tcPr>
            <w:tcW w:w="4093" w:type="dxa"/>
            <w:noWrap/>
            <w:vAlign w:val="bottom"/>
            <w:hideMark/>
          </w:tcPr>
          <w:p w:rsidR="005F5386" w:rsidRPr="00EB3226" w:rsidRDefault="005F5386" w:rsidP="00EB3226">
            <w:pPr>
              <w:jc w:val="center"/>
              <w:rPr>
                <w:bCs/>
                <w:szCs w:val="28"/>
              </w:rPr>
            </w:pPr>
            <w:r w:rsidRPr="00EB3226">
              <w:rPr>
                <w:bCs/>
                <w:szCs w:val="28"/>
              </w:rPr>
              <w:t>ПОЯСНИТЕЛЬНАЯ ЗАПИСКА</w:t>
            </w:r>
          </w:p>
        </w:tc>
        <w:tc>
          <w:tcPr>
            <w:tcW w:w="1274" w:type="dxa"/>
            <w:noWrap/>
            <w:vAlign w:val="bottom"/>
          </w:tcPr>
          <w:p w:rsidR="005F5386" w:rsidRPr="00EB3226" w:rsidRDefault="005F5386" w:rsidP="00EB3226">
            <w:pPr>
              <w:rPr>
                <w:szCs w:val="28"/>
              </w:rPr>
            </w:pPr>
          </w:p>
        </w:tc>
        <w:tc>
          <w:tcPr>
            <w:tcW w:w="1826" w:type="dxa"/>
            <w:noWrap/>
            <w:vAlign w:val="bottom"/>
          </w:tcPr>
          <w:p w:rsidR="005F5386" w:rsidRPr="00EB3226" w:rsidRDefault="005F5386" w:rsidP="00EB3226">
            <w:pPr>
              <w:rPr>
                <w:szCs w:val="28"/>
              </w:rPr>
            </w:pPr>
          </w:p>
        </w:tc>
      </w:tr>
      <w:tr w:rsidR="005F5386" w:rsidRPr="00EB3226" w:rsidTr="00DD63C9">
        <w:trPr>
          <w:trHeight w:val="315"/>
        </w:trPr>
        <w:tc>
          <w:tcPr>
            <w:tcW w:w="2780" w:type="dxa"/>
            <w:noWrap/>
            <w:vAlign w:val="bottom"/>
          </w:tcPr>
          <w:p w:rsidR="005F5386" w:rsidRPr="00EB3226" w:rsidRDefault="005F5386" w:rsidP="00EB3226">
            <w:pPr>
              <w:rPr>
                <w:szCs w:val="28"/>
              </w:rPr>
            </w:pPr>
          </w:p>
        </w:tc>
        <w:tc>
          <w:tcPr>
            <w:tcW w:w="4093" w:type="dxa"/>
            <w:noWrap/>
            <w:vAlign w:val="bottom"/>
          </w:tcPr>
          <w:p w:rsidR="005F5386" w:rsidRPr="00EB3226" w:rsidRDefault="005F5386" w:rsidP="00EB3226">
            <w:pPr>
              <w:jc w:val="center"/>
              <w:rPr>
                <w:bCs/>
                <w:szCs w:val="28"/>
              </w:rPr>
            </w:pPr>
          </w:p>
          <w:p w:rsidR="005F5386" w:rsidRPr="00EB3226" w:rsidRDefault="005F5386" w:rsidP="00EB3226">
            <w:pPr>
              <w:jc w:val="center"/>
              <w:rPr>
                <w:bCs/>
                <w:szCs w:val="28"/>
              </w:rPr>
            </w:pPr>
            <w:r w:rsidRPr="00EB3226">
              <w:rPr>
                <w:bCs/>
                <w:szCs w:val="28"/>
              </w:rPr>
              <w:t>к отчету об исполнении республиканского бюджета Республики Алтай</w:t>
            </w:r>
          </w:p>
          <w:p w:rsidR="005F5386" w:rsidRPr="00EB3226" w:rsidRDefault="005F5386" w:rsidP="00EB3226">
            <w:pPr>
              <w:jc w:val="center"/>
              <w:rPr>
                <w:bCs/>
                <w:szCs w:val="28"/>
              </w:rPr>
            </w:pPr>
          </w:p>
        </w:tc>
        <w:tc>
          <w:tcPr>
            <w:tcW w:w="1274" w:type="dxa"/>
            <w:noWrap/>
            <w:vAlign w:val="bottom"/>
          </w:tcPr>
          <w:p w:rsidR="005F5386" w:rsidRPr="00EB3226" w:rsidRDefault="005F5386" w:rsidP="00EB3226">
            <w:pPr>
              <w:rPr>
                <w:bCs/>
                <w:szCs w:val="28"/>
              </w:rPr>
            </w:pPr>
          </w:p>
        </w:tc>
        <w:tc>
          <w:tcPr>
            <w:tcW w:w="1826" w:type="dxa"/>
            <w:tcBorders>
              <w:top w:val="single" w:sz="4" w:space="0" w:color="auto"/>
              <w:left w:val="single" w:sz="4" w:space="0" w:color="auto"/>
              <w:bottom w:val="single" w:sz="8" w:space="0" w:color="auto"/>
              <w:right w:val="single" w:sz="4" w:space="0" w:color="auto"/>
            </w:tcBorders>
            <w:noWrap/>
            <w:vAlign w:val="bottom"/>
            <w:hideMark/>
          </w:tcPr>
          <w:p w:rsidR="005F5386" w:rsidRPr="00EB3226" w:rsidRDefault="005F5386" w:rsidP="00EB3226">
            <w:pPr>
              <w:jc w:val="center"/>
              <w:rPr>
                <w:szCs w:val="28"/>
              </w:rPr>
            </w:pPr>
            <w:r w:rsidRPr="00EB3226">
              <w:rPr>
                <w:szCs w:val="28"/>
              </w:rPr>
              <w:t>КОДЫ</w:t>
            </w:r>
          </w:p>
        </w:tc>
      </w:tr>
      <w:tr w:rsidR="005F5386" w:rsidRPr="00EB3226" w:rsidTr="00DD63C9">
        <w:trPr>
          <w:trHeight w:val="255"/>
        </w:trPr>
        <w:tc>
          <w:tcPr>
            <w:tcW w:w="2780" w:type="dxa"/>
            <w:noWrap/>
            <w:vAlign w:val="bottom"/>
          </w:tcPr>
          <w:p w:rsidR="005F5386" w:rsidRPr="00EB3226" w:rsidRDefault="005F5386" w:rsidP="00EB3226">
            <w:pPr>
              <w:rPr>
                <w:szCs w:val="28"/>
              </w:rPr>
            </w:pPr>
          </w:p>
        </w:tc>
        <w:tc>
          <w:tcPr>
            <w:tcW w:w="4093" w:type="dxa"/>
            <w:noWrap/>
            <w:vAlign w:val="bottom"/>
            <w:hideMark/>
          </w:tcPr>
          <w:p w:rsidR="005F5386" w:rsidRPr="00EB3226" w:rsidRDefault="005F5386" w:rsidP="00DD63C9">
            <w:pPr>
              <w:jc w:val="center"/>
              <w:rPr>
                <w:szCs w:val="28"/>
              </w:rPr>
            </w:pPr>
            <w:r w:rsidRPr="00EB3226">
              <w:rPr>
                <w:szCs w:val="28"/>
              </w:rPr>
              <w:t>на  1 января 20</w:t>
            </w:r>
            <w:r w:rsidR="0077077D" w:rsidRPr="00EB3226">
              <w:rPr>
                <w:szCs w:val="28"/>
              </w:rPr>
              <w:t>2</w:t>
            </w:r>
            <w:r w:rsidR="00DD63C9">
              <w:rPr>
                <w:szCs w:val="28"/>
              </w:rPr>
              <w:t>3</w:t>
            </w:r>
            <w:r w:rsidRPr="00EB3226">
              <w:rPr>
                <w:szCs w:val="28"/>
              </w:rPr>
              <w:t xml:space="preserve"> года</w:t>
            </w:r>
          </w:p>
        </w:tc>
        <w:tc>
          <w:tcPr>
            <w:tcW w:w="1274" w:type="dxa"/>
            <w:noWrap/>
            <w:vAlign w:val="bottom"/>
            <w:hideMark/>
          </w:tcPr>
          <w:p w:rsidR="005F5386" w:rsidRPr="00EB3226" w:rsidRDefault="005F5386" w:rsidP="00EB3226">
            <w:pPr>
              <w:jc w:val="both"/>
              <w:rPr>
                <w:szCs w:val="28"/>
              </w:rPr>
            </w:pPr>
            <w:r w:rsidRPr="00EB3226">
              <w:rPr>
                <w:szCs w:val="28"/>
              </w:rPr>
              <w:t>Форма по ОКУД</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F51571" w:rsidP="00EB3226">
            <w:pPr>
              <w:jc w:val="center"/>
              <w:rPr>
                <w:szCs w:val="28"/>
              </w:rPr>
            </w:pPr>
            <w:r>
              <w:rPr>
                <w:szCs w:val="28"/>
              </w:rPr>
              <w:t>05031</w:t>
            </w:r>
            <w:r w:rsidR="005F5386" w:rsidRPr="00EB3226">
              <w:rPr>
                <w:szCs w:val="28"/>
              </w:rPr>
              <w:t>60</w:t>
            </w:r>
          </w:p>
        </w:tc>
      </w:tr>
      <w:tr w:rsidR="005F5386" w:rsidRPr="00EB3226" w:rsidTr="00DD63C9">
        <w:trPr>
          <w:trHeight w:val="255"/>
        </w:trPr>
        <w:tc>
          <w:tcPr>
            <w:tcW w:w="2780" w:type="dxa"/>
            <w:noWrap/>
            <w:vAlign w:val="bottom"/>
          </w:tcPr>
          <w:p w:rsidR="005F5386" w:rsidRPr="00EB3226" w:rsidRDefault="005F5386" w:rsidP="00EB3226">
            <w:pPr>
              <w:rPr>
                <w:szCs w:val="28"/>
              </w:rPr>
            </w:pPr>
          </w:p>
        </w:tc>
        <w:tc>
          <w:tcPr>
            <w:tcW w:w="4093" w:type="dxa"/>
            <w:noWrap/>
            <w:vAlign w:val="bottom"/>
          </w:tcPr>
          <w:p w:rsidR="005F5386" w:rsidRPr="00EB3226" w:rsidRDefault="005F5386" w:rsidP="00EB3226">
            <w:pPr>
              <w:rPr>
                <w:szCs w:val="28"/>
              </w:rPr>
            </w:pPr>
          </w:p>
        </w:tc>
        <w:tc>
          <w:tcPr>
            <w:tcW w:w="1274" w:type="dxa"/>
            <w:noWrap/>
            <w:vAlign w:val="bottom"/>
            <w:hideMark/>
          </w:tcPr>
          <w:p w:rsidR="005F5386" w:rsidRPr="00EB3226" w:rsidRDefault="005F5386" w:rsidP="00EB3226">
            <w:pPr>
              <w:jc w:val="both"/>
              <w:rPr>
                <w:szCs w:val="28"/>
              </w:rPr>
            </w:pPr>
            <w:r w:rsidRPr="00EB3226">
              <w:rPr>
                <w:szCs w:val="28"/>
              </w:rPr>
              <w:t xml:space="preserve">                        Дата</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DD63C9">
            <w:pPr>
              <w:jc w:val="center"/>
              <w:rPr>
                <w:szCs w:val="28"/>
              </w:rPr>
            </w:pPr>
            <w:bookmarkStart w:id="0" w:name="RANGE!D5"/>
            <w:r w:rsidRPr="00EB3226">
              <w:rPr>
                <w:szCs w:val="28"/>
              </w:rPr>
              <w:t>01.01.20</w:t>
            </w:r>
            <w:bookmarkEnd w:id="0"/>
            <w:r w:rsidR="00816C2B" w:rsidRPr="00EB3226">
              <w:rPr>
                <w:szCs w:val="28"/>
              </w:rPr>
              <w:t>2</w:t>
            </w:r>
            <w:r w:rsidR="00DD63C9">
              <w:rPr>
                <w:szCs w:val="28"/>
              </w:rPr>
              <w:t>3</w:t>
            </w:r>
          </w:p>
        </w:tc>
      </w:tr>
      <w:tr w:rsidR="005F5386" w:rsidRPr="00EB3226" w:rsidTr="00DD63C9">
        <w:trPr>
          <w:trHeight w:val="417"/>
        </w:trPr>
        <w:tc>
          <w:tcPr>
            <w:tcW w:w="2780" w:type="dxa"/>
            <w:noWrap/>
            <w:vAlign w:val="bottom"/>
          </w:tcPr>
          <w:p w:rsidR="005F5386" w:rsidRPr="00EB3226" w:rsidRDefault="005F5386" w:rsidP="00EB3226">
            <w:pPr>
              <w:rPr>
                <w:szCs w:val="28"/>
              </w:rPr>
            </w:pPr>
          </w:p>
        </w:tc>
        <w:tc>
          <w:tcPr>
            <w:tcW w:w="4093" w:type="dxa"/>
            <w:noWrap/>
            <w:vAlign w:val="bottom"/>
          </w:tcPr>
          <w:p w:rsidR="005F5386" w:rsidRPr="00EB3226" w:rsidRDefault="005F5386" w:rsidP="00EB3226">
            <w:pPr>
              <w:rPr>
                <w:szCs w:val="28"/>
              </w:rPr>
            </w:pPr>
          </w:p>
        </w:tc>
        <w:tc>
          <w:tcPr>
            <w:tcW w:w="1274" w:type="dxa"/>
            <w:noWrap/>
            <w:vAlign w:val="bottom"/>
            <w:hideMark/>
          </w:tcPr>
          <w:p w:rsidR="005F5386" w:rsidRPr="00EB3226" w:rsidRDefault="005F5386" w:rsidP="00EB3226">
            <w:pPr>
              <w:jc w:val="both"/>
              <w:rPr>
                <w:szCs w:val="28"/>
              </w:rPr>
            </w:pPr>
            <w:r w:rsidRPr="00EB3226">
              <w:rPr>
                <w:szCs w:val="28"/>
              </w:rPr>
              <w:t xml:space="preserve"> по ОКПО</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EB3226">
            <w:pPr>
              <w:rPr>
                <w:szCs w:val="28"/>
              </w:rPr>
            </w:pPr>
            <w:r w:rsidRPr="00EB3226">
              <w:rPr>
                <w:szCs w:val="28"/>
              </w:rPr>
              <w:t> 00078212</w:t>
            </w:r>
          </w:p>
        </w:tc>
      </w:tr>
      <w:tr w:rsidR="005F5386" w:rsidRPr="00EB3226" w:rsidTr="00DD63C9">
        <w:trPr>
          <w:trHeight w:val="255"/>
        </w:trPr>
        <w:tc>
          <w:tcPr>
            <w:tcW w:w="6873" w:type="dxa"/>
            <w:gridSpan w:val="2"/>
            <w:noWrap/>
            <w:vAlign w:val="bottom"/>
            <w:hideMark/>
          </w:tcPr>
          <w:p w:rsidR="005F5386" w:rsidRPr="00EB3226" w:rsidRDefault="005F5386" w:rsidP="00EB3226">
            <w:pPr>
              <w:rPr>
                <w:szCs w:val="28"/>
              </w:rPr>
            </w:pPr>
            <w:bookmarkStart w:id="1" w:name="RANGE!A7"/>
            <w:r w:rsidRPr="00EB3226">
              <w:rPr>
                <w:szCs w:val="28"/>
              </w:rPr>
              <w:t xml:space="preserve">Наименование финансового органа  </w:t>
            </w:r>
            <w:bookmarkEnd w:id="1"/>
            <w:r w:rsidRPr="00EB3226">
              <w:rPr>
                <w:szCs w:val="28"/>
              </w:rPr>
              <w:t xml:space="preserve"> </w:t>
            </w:r>
            <w:r w:rsidRPr="00EB3226">
              <w:rPr>
                <w:i/>
                <w:szCs w:val="28"/>
              </w:rPr>
              <w:t>Министерство финансов Республики Алтай</w:t>
            </w:r>
          </w:p>
        </w:tc>
        <w:tc>
          <w:tcPr>
            <w:tcW w:w="1274" w:type="dxa"/>
            <w:noWrap/>
            <w:vAlign w:val="bottom"/>
            <w:hideMark/>
          </w:tcPr>
          <w:p w:rsidR="005F5386" w:rsidRPr="00EB3226" w:rsidRDefault="005F5386" w:rsidP="00EB3226">
            <w:pPr>
              <w:jc w:val="both"/>
              <w:rPr>
                <w:szCs w:val="28"/>
              </w:rPr>
            </w:pPr>
            <w:r w:rsidRPr="00EB3226">
              <w:rPr>
                <w:szCs w:val="28"/>
              </w:rPr>
              <w:t>Глава по БК</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EB3226">
            <w:pPr>
              <w:rPr>
                <w:szCs w:val="28"/>
              </w:rPr>
            </w:pPr>
            <w:r w:rsidRPr="00EB3226">
              <w:rPr>
                <w:szCs w:val="28"/>
              </w:rPr>
              <w:t> 906</w:t>
            </w:r>
          </w:p>
        </w:tc>
      </w:tr>
      <w:tr w:rsidR="005F5386" w:rsidRPr="00EB3226" w:rsidTr="00DD63C9">
        <w:trPr>
          <w:trHeight w:val="255"/>
        </w:trPr>
        <w:tc>
          <w:tcPr>
            <w:tcW w:w="6873" w:type="dxa"/>
            <w:gridSpan w:val="2"/>
            <w:noWrap/>
            <w:vAlign w:val="bottom"/>
            <w:hideMark/>
          </w:tcPr>
          <w:p w:rsidR="005F5386" w:rsidRPr="00EB3226" w:rsidRDefault="005F5386" w:rsidP="00EB3226">
            <w:pPr>
              <w:rPr>
                <w:i/>
                <w:szCs w:val="28"/>
              </w:rPr>
            </w:pPr>
            <w:r w:rsidRPr="00EB3226">
              <w:rPr>
                <w:szCs w:val="28"/>
              </w:rPr>
              <w:t xml:space="preserve">Наименование бюджета  </w:t>
            </w:r>
            <w:r w:rsidRPr="00EB3226">
              <w:rPr>
                <w:i/>
                <w:szCs w:val="28"/>
              </w:rPr>
              <w:t>Республиканский бюджет Республики Алтай</w:t>
            </w:r>
          </w:p>
        </w:tc>
        <w:tc>
          <w:tcPr>
            <w:tcW w:w="1274" w:type="dxa"/>
            <w:noWrap/>
            <w:vAlign w:val="bottom"/>
            <w:hideMark/>
          </w:tcPr>
          <w:p w:rsidR="005F5386" w:rsidRPr="00EB3226" w:rsidRDefault="005F5386" w:rsidP="00EB3226">
            <w:pPr>
              <w:jc w:val="both"/>
              <w:rPr>
                <w:szCs w:val="28"/>
              </w:rPr>
            </w:pPr>
            <w:r w:rsidRPr="00EB3226">
              <w:rPr>
                <w:szCs w:val="28"/>
              </w:rPr>
              <w:t>по ОКАТО</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EB3226">
            <w:pPr>
              <w:rPr>
                <w:szCs w:val="28"/>
              </w:rPr>
            </w:pPr>
            <w:r w:rsidRPr="00EB3226">
              <w:rPr>
                <w:szCs w:val="28"/>
              </w:rPr>
              <w:t> 84401000000</w:t>
            </w:r>
          </w:p>
        </w:tc>
      </w:tr>
      <w:tr w:rsidR="005F5386" w:rsidRPr="00EB3226" w:rsidTr="00DD63C9">
        <w:trPr>
          <w:trHeight w:val="255"/>
        </w:trPr>
        <w:tc>
          <w:tcPr>
            <w:tcW w:w="2780" w:type="dxa"/>
            <w:noWrap/>
            <w:vAlign w:val="bottom"/>
            <w:hideMark/>
          </w:tcPr>
          <w:p w:rsidR="005F5386" w:rsidRPr="00EB3226" w:rsidRDefault="005F5386" w:rsidP="00EB3226">
            <w:pPr>
              <w:rPr>
                <w:szCs w:val="28"/>
              </w:rPr>
            </w:pPr>
            <w:r w:rsidRPr="00EB3226">
              <w:rPr>
                <w:szCs w:val="28"/>
              </w:rPr>
              <w:t>Периодичность:  Годовая</w:t>
            </w:r>
          </w:p>
        </w:tc>
        <w:tc>
          <w:tcPr>
            <w:tcW w:w="4093" w:type="dxa"/>
            <w:noWrap/>
            <w:vAlign w:val="bottom"/>
          </w:tcPr>
          <w:p w:rsidR="005F5386" w:rsidRPr="00EB3226" w:rsidRDefault="005F5386" w:rsidP="00EB3226">
            <w:pPr>
              <w:rPr>
                <w:szCs w:val="28"/>
              </w:rPr>
            </w:pPr>
          </w:p>
        </w:tc>
        <w:tc>
          <w:tcPr>
            <w:tcW w:w="1274" w:type="dxa"/>
            <w:noWrap/>
            <w:vAlign w:val="bottom"/>
          </w:tcPr>
          <w:p w:rsidR="005F5386" w:rsidRPr="00EB3226" w:rsidRDefault="005F5386" w:rsidP="00EB3226">
            <w:pPr>
              <w:jc w:val="both"/>
              <w:rPr>
                <w:szCs w:val="28"/>
              </w:rPr>
            </w:pPr>
          </w:p>
        </w:tc>
        <w:tc>
          <w:tcPr>
            <w:tcW w:w="1826" w:type="dxa"/>
            <w:tcBorders>
              <w:top w:val="nil"/>
              <w:left w:val="single" w:sz="8" w:space="0" w:color="auto"/>
              <w:bottom w:val="nil"/>
              <w:right w:val="single" w:sz="8" w:space="0" w:color="auto"/>
            </w:tcBorders>
            <w:noWrap/>
            <w:vAlign w:val="bottom"/>
            <w:hideMark/>
          </w:tcPr>
          <w:p w:rsidR="005F5386" w:rsidRPr="00EB3226" w:rsidRDefault="005F5386" w:rsidP="00EB3226">
            <w:pPr>
              <w:rPr>
                <w:szCs w:val="28"/>
              </w:rPr>
            </w:pPr>
            <w:r w:rsidRPr="00EB3226">
              <w:rPr>
                <w:szCs w:val="28"/>
              </w:rPr>
              <w:t> </w:t>
            </w:r>
          </w:p>
        </w:tc>
      </w:tr>
      <w:tr w:rsidR="005F5386" w:rsidRPr="00EB3226" w:rsidTr="00DD63C9">
        <w:trPr>
          <w:trHeight w:val="270"/>
        </w:trPr>
        <w:tc>
          <w:tcPr>
            <w:tcW w:w="2780" w:type="dxa"/>
            <w:noWrap/>
            <w:vAlign w:val="bottom"/>
            <w:hideMark/>
          </w:tcPr>
          <w:p w:rsidR="005F5386" w:rsidRPr="00EB3226" w:rsidRDefault="005F5386" w:rsidP="00EB3226">
            <w:pPr>
              <w:rPr>
                <w:szCs w:val="28"/>
              </w:rPr>
            </w:pPr>
            <w:r w:rsidRPr="00EB3226">
              <w:rPr>
                <w:szCs w:val="28"/>
              </w:rPr>
              <w:t>Единица измерения: тыс.  руб.</w:t>
            </w:r>
          </w:p>
        </w:tc>
        <w:tc>
          <w:tcPr>
            <w:tcW w:w="4093" w:type="dxa"/>
            <w:noWrap/>
            <w:vAlign w:val="bottom"/>
          </w:tcPr>
          <w:p w:rsidR="005F5386" w:rsidRPr="00EB3226" w:rsidRDefault="005F5386" w:rsidP="00EB3226">
            <w:pPr>
              <w:rPr>
                <w:szCs w:val="28"/>
              </w:rPr>
            </w:pPr>
          </w:p>
        </w:tc>
        <w:tc>
          <w:tcPr>
            <w:tcW w:w="1274" w:type="dxa"/>
            <w:noWrap/>
            <w:vAlign w:val="bottom"/>
            <w:hideMark/>
          </w:tcPr>
          <w:p w:rsidR="005F5386" w:rsidRPr="00EB3226" w:rsidRDefault="005F5386" w:rsidP="00EB3226">
            <w:pPr>
              <w:jc w:val="both"/>
              <w:rPr>
                <w:szCs w:val="28"/>
              </w:rPr>
            </w:pPr>
            <w:r w:rsidRPr="00EB3226">
              <w:rPr>
                <w:szCs w:val="28"/>
              </w:rPr>
              <w:t>по ОКЕИ</w:t>
            </w:r>
          </w:p>
        </w:tc>
        <w:tc>
          <w:tcPr>
            <w:tcW w:w="1826" w:type="dxa"/>
            <w:tcBorders>
              <w:top w:val="single" w:sz="4" w:space="0" w:color="auto"/>
              <w:left w:val="single" w:sz="8" w:space="0" w:color="auto"/>
              <w:bottom w:val="single" w:sz="8" w:space="0" w:color="auto"/>
              <w:right w:val="single" w:sz="8" w:space="0" w:color="auto"/>
            </w:tcBorders>
            <w:noWrap/>
            <w:vAlign w:val="bottom"/>
            <w:hideMark/>
          </w:tcPr>
          <w:p w:rsidR="005F5386" w:rsidRPr="00EB3226" w:rsidRDefault="005F5386" w:rsidP="00EB3226">
            <w:pPr>
              <w:jc w:val="center"/>
              <w:rPr>
                <w:szCs w:val="28"/>
              </w:rPr>
            </w:pPr>
            <w:r w:rsidRPr="00EB3226">
              <w:rPr>
                <w:szCs w:val="28"/>
              </w:rPr>
              <w:t>383</w:t>
            </w:r>
          </w:p>
        </w:tc>
      </w:tr>
      <w:tr w:rsidR="005F5386" w:rsidRPr="00EB3226" w:rsidTr="00DD63C9">
        <w:trPr>
          <w:trHeight w:val="255"/>
        </w:trPr>
        <w:tc>
          <w:tcPr>
            <w:tcW w:w="2780" w:type="dxa"/>
            <w:noWrap/>
            <w:vAlign w:val="bottom"/>
          </w:tcPr>
          <w:p w:rsidR="005F5386" w:rsidRPr="00EB3226" w:rsidRDefault="005F5386" w:rsidP="00EB3226">
            <w:pPr>
              <w:rPr>
                <w:szCs w:val="28"/>
              </w:rPr>
            </w:pPr>
          </w:p>
        </w:tc>
        <w:tc>
          <w:tcPr>
            <w:tcW w:w="4093" w:type="dxa"/>
            <w:noWrap/>
            <w:vAlign w:val="bottom"/>
          </w:tcPr>
          <w:p w:rsidR="005F5386" w:rsidRPr="00EB3226" w:rsidRDefault="005F5386" w:rsidP="00EB3226">
            <w:pPr>
              <w:rPr>
                <w:szCs w:val="28"/>
              </w:rPr>
            </w:pPr>
          </w:p>
        </w:tc>
        <w:tc>
          <w:tcPr>
            <w:tcW w:w="1274" w:type="dxa"/>
            <w:noWrap/>
            <w:vAlign w:val="bottom"/>
          </w:tcPr>
          <w:p w:rsidR="005F5386" w:rsidRPr="00EB3226" w:rsidRDefault="005F5386" w:rsidP="00EB3226">
            <w:pPr>
              <w:rPr>
                <w:szCs w:val="28"/>
              </w:rPr>
            </w:pPr>
          </w:p>
        </w:tc>
        <w:tc>
          <w:tcPr>
            <w:tcW w:w="1826" w:type="dxa"/>
            <w:noWrap/>
            <w:vAlign w:val="bottom"/>
          </w:tcPr>
          <w:p w:rsidR="005F5386" w:rsidRPr="00EB3226" w:rsidRDefault="005F5386" w:rsidP="00EB3226">
            <w:pPr>
              <w:rPr>
                <w:szCs w:val="28"/>
              </w:rPr>
            </w:pPr>
          </w:p>
        </w:tc>
      </w:tr>
      <w:tr w:rsidR="005F5386" w:rsidRPr="00EB3226" w:rsidTr="00DD63C9">
        <w:trPr>
          <w:trHeight w:val="255"/>
        </w:trPr>
        <w:tc>
          <w:tcPr>
            <w:tcW w:w="2780" w:type="dxa"/>
            <w:noWrap/>
            <w:vAlign w:val="bottom"/>
          </w:tcPr>
          <w:p w:rsidR="005F5386" w:rsidRPr="00EB3226" w:rsidRDefault="005F5386" w:rsidP="00EB3226">
            <w:pPr>
              <w:rPr>
                <w:szCs w:val="28"/>
              </w:rPr>
            </w:pPr>
          </w:p>
        </w:tc>
        <w:tc>
          <w:tcPr>
            <w:tcW w:w="4093" w:type="dxa"/>
            <w:noWrap/>
            <w:vAlign w:val="bottom"/>
          </w:tcPr>
          <w:p w:rsidR="005F5386" w:rsidRPr="00EB3226" w:rsidRDefault="005F5386" w:rsidP="00EB3226">
            <w:pPr>
              <w:rPr>
                <w:szCs w:val="28"/>
              </w:rPr>
            </w:pPr>
          </w:p>
          <w:p w:rsidR="005F5386" w:rsidRPr="00EB3226" w:rsidRDefault="005F5386" w:rsidP="00EB3226">
            <w:pPr>
              <w:rPr>
                <w:szCs w:val="28"/>
              </w:rPr>
            </w:pPr>
          </w:p>
        </w:tc>
        <w:tc>
          <w:tcPr>
            <w:tcW w:w="1274" w:type="dxa"/>
            <w:noWrap/>
            <w:vAlign w:val="bottom"/>
          </w:tcPr>
          <w:p w:rsidR="005F5386" w:rsidRPr="00EB3226" w:rsidRDefault="005F5386" w:rsidP="00EB3226">
            <w:pPr>
              <w:rPr>
                <w:szCs w:val="28"/>
              </w:rPr>
            </w:pPr>
          </w:p>
        </w:tc>
        <w:tc>
          <w:tcPr>
            <w:tcW w:w="1826" w:type="dxa"/>
            <w:noWrap/>
            <w:vAlign w:val="bottom"/>
          </w:tcPr>
          <w:p w:rsidR="005F5386" w:rsidRPr="00EB3226" w:rsidRDefault="005F5386" w:rsidP="00EB3226">
            <w:pPr>
              <w:rPr>
                <w:szCs w:val="28"/>
              </w:rPr>
            </w:pPr>
          </w:p>
        </w:tc>
      </w:tr>
    </w:tbl>
    <w:p w:rsidR="005F5386" w:rsidRPr="00EB3226" w:rsidRDefault="005F5386" w:rsidP="00EB3226">
      <w:pPr>
        <w:pStyle w:val="1"/>
        <w:jc w:val="center"/>
        <w:rPr>
          <w:rFonts w:ascii="Times New Roman" w:hAnsi="Times New Roman" w:cs="Times New Roman"/>
          <w:b w:val="0"/>
          <w:i/>
          <w:sz w:val="28"/>
          <w:szCs w:val="28"/>
        </w:rPr>
      </w:pPr>
    </w:p>
    <w:p w:rsidR="00C97E05" w:rsidRPr="00EB3226" w:rsidRDefault="00C97E05" w:rsidP="00EB3226">
      <w:pPr>
        <w:autoSpaceDE w:val="0"/>
        <w:autoSpaceDN w:val="0"/>
        <w:adjustRightInd w:val="0"/>
        <w:ind w:firstLine="567"/>
        <w:jc w:val="both"/>
        <w:rPr>
          <w:szCs w:val="28"/>
        </w:rPr>
      </w:pPr>
      <w:r w:rsidRPr="00EB3226">
        <w:rPr>
          <w:szCs w:val="28"/>
        </w:rPr>
        <w:t xml:space="preserve">Отчет об исполнении </w:t>
      </w:r>
      <w:r w:rsidR="00536A9A" w:rsidRPr="00EB3226">
        <w:rPr>
          <w:szCs w:val="28"/>
        </w:rPr>
        <w:t xml:space="preserve">республиканского </w:t>
      </w:r>
      <w:r w:rsidRPr="00EB3226">
        <w:rPr>
          <w:szCs w:val="28"/>
        </w:rPr>
        <w:t xml:space="preserve"> бюджета Республики Алтай за </w:t>
      </w:r>
      <w:r w:rsidR="00F96CAD" w:rsidRPr="00EB3226">
        <w:rPr>
          <w:szCs w:val="28"/>
        </w:rPr>
        <w:t>20</w:t>
      </w:r>
      <w:r w:rsidR="000E37DE" w:rsidRPr="00EB3226">
        <w:rPr>
          <w:szCs w:val="28"/>
        </w:rPr>
        <w:t>2</w:t>
      </w:r>
      <w:r w:rsidR="00DD63C9">
        <w:rPr>
          <w:szCs w:val="28"/>
        </w:rPr>
        <w:t>2</w:t>
      </w:r>
      <w:r w:rsidR="003D2E86" w:rsidRPr="00EB3226">
        <w:rPr>
          <w:szCs w:val="28"/>
        </w:rPr>
        <w:t xml:space="preserve"> </w:t>
      </w:r>
      <w:r w:rsidRPr="00EB3226">
        <w:rPr>
          <w:szCs w:val="28"/>
        </w:rPr>
        <w:t xml:space="preserve">год составлен путем суммирования данных отчетов, представленных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главными администраторами, администраторами доходов бюджета,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sidR="00A9153E" w:rsidRPr="00EB3226">
        <w:rPr>
          <w:szCs w:val="28"/>
        </w:rPr>
        <w:t>28</w:t>
      </w:r>
      <w:r w:rsidRPr="00EB3226">
        <w:rPr>
          <w:szCs w:val="28"/>
        </w:rPr>
        <w:t>.1</w:t>
      </w:r>
      <w:r w:rsidR="00A9153E" w:rsidRPr="00EB3226">
        <w:rPr>
          <w:szCs w:val="28"/>
        </w:rPr>
        <w:t>2</w:t>
      </w:r>
      <w:r w:rsidRPr="00EB3226">
        <w:rPr>
          <w:szCs w:val="28"/>
        </w:rPr>
        <w:t>.20</w:t>
      </w:r>
      <w:r w:rsidR="00A9153E" w:rsidRPr="00EB3226">
        <w:rPr>
          <w:szCs w:val="28"/>
        </w:rPr>
        <w:t>10</w:t>
      </w:r>
      <w:r w:rsidRPr="00EB3226">
        <w:rPr>
          <w:szCs w:val="28"/>
        </w:rPr>
        <w:t xml:space="preserve"> г. </w:t>
      </w:r>
      <w:r w:rsidR="008C6F0D" w:rsidRPr="00EB3226">
        <w:rPr>
          <w:szCs w:val="28"/>
        </w:rPr>
        <w:t xml:space="preserve">№ </w:t>
      </w:r>
      <w:r w:rsidRPr="00EB3226">
        <w:rPr>
          <w:szCs w:val="28"/>
        </w:rPr>
        <w:t>1</w:t>
      </w:r>
      <w:r w:rsidR="00A9153E" w:rsidRPr="00EB3226">
        <w:rPr>
          <w:szCs w:val="28"/>
        </w:rPr>
        <w:t>91</w:t>
      </w:r>
      <w:r w:rsidRPr="00EB3226">
        <w:rPr>
          <w:szCs w:val="28"/>
        </w:rPr>
        <w:t>н (далее – Инструкция</w:t>
      </w:r>
      <w:r w:rsidR="008C6F0D" w:rsidRPr="00EB3226">
        <w:rPr>
          <w:szCs w:val="28"/>
        </w:rPr>
        <w:t xml:space="preserve"> </w:t>
      </w:r>
      <w:r w:rsidRPr="00EB3226">
        <w:rPr>
          <w:szCs w:val="28"/>
        </w:rPr>
        <w:t>№</w:t>
      </w:r>
      <w:r w:rsidR="008C6F0D" w:rsidRPr="00EB3226">
        <w:rPr>
          <w:szCs w:val="28"/>
        </w:rPr>
        <w:t xml:space="preserve"> </w:t>
      </w:r>
      <w:r w:rsidRPr="00EB3226">
        <w:rPr>
          <w:szCs w:val="28"/>
        </w:rPr>
        <w:t>1</w:t>
      </w:r>
      <w:r w:rsidR="00A9153E" w:rsidRPr="00EB3226">
        <w:rPr>
          <w:szCs w:val="28"/>
        </w:rPr>
        <w:t>91</w:t>
      </w:r>
      <w:r w:rsidR="008C6F0D" w:rsidRPr="00EB3226">
        <w:rPr>
          <w:szCs w:val="28"/>
        </w:rPr>
        <w:t>н).</w:t>
      </w:r>
    </w:p>
    <w:p w:rsidR="00E3072D" w:rsidRPr="00EB3226" w:rsidRDefault="00E3072D" w:rsidP="00EB3226">
      <w:pPr>
        <w:ind w:firstLine="709"/>
        <w:jc w:val="both"/>
        <w:rPr>
          <w:szCs w:val="28"/>
        </w:rPr>
      </w:pPr>
      <w:r w:rsidRPr="00EB3226">
        <w:rPr>
          <w:szCs w:val="28"/>
        </w:rPr>
        <w:t>Общее количество получателей бюдж</w:t>
      </w:r>
      <w:r w:rsidR="00816C2B" w:rsidRPr="00EB3226">
        <w:rPr>
          <w:szCs w:val="28"/>
        </w:rPr>
        <w:t xml:space="preserve">етных средств </w:t>
      </w:r>
      <w:r w:rsidR="00A445FA" w:rsidRPr="00EB3226">
        <w:rPr>
          <w:szCs w:val="28"/>
        </w:rPr>
        <w:t>республиканского бюджета</w:t>
      </w:r>
      <w:r w:rsidRPr="00EB3226">
        <w:rPr>
          <w:szCs w:val="28"/>
        </w:rPr>
        <w:t xml:space="preserve"> Республики Алтай на конец отчетного </w:t>
      </w:r>
      <w:r w:rsidR="00A445FA" w:rsidRPr="00EB3226">
        <w:rPr>
          <w:szCs w:val="28"/>
        </w:rPr>
        <w:t>года составляет</w:t>
      </w:r>
      <w:r w:rsidRPr="00EB3226">
        <w:rPr>
          <w:szCs w:val="28"/>
        </w:rPr>
        <w:t xml:space="preserve"> 1</w:t>
      </w:r>
      <w:r w:rsidR="0033465C">
        <w:rPr>
          <w:szCs w:val="28"/>
        </w:rPr>
        <w:t>6</w:t>
      </w:r>
      <w:r w:rsidR="00353B20">
        <w:rPr>
          <w:szCs w:val="28"/>
        </w:rPr>
        <w:t>9</w:t>
      </w:r>
      <w:r w:rsidRPr="00EB3226">
        <w:rPr>
          <w:szCs w:val="28"/>
        </w:rPr>
        <w:t xml:space="preserve"> единицы, в том числе 2</w:t>
      </w:r>
      <w:r w:rsidR="00353B20">
        <w:rPr>
          <w:szCs w:val="28"/>
        </w:rPr>
        <w:t>6</w:t>
      </w:r>
      <w:r w:rsidRPr="00EB3226">
        <w:rPr>
          <w:color w:val="FF0000"/>
          <w:szCs w:val="28"/>
        </w:rPr>
        <w:t xml:space="preserve"> </w:t>
      </w:r>
      <w:r w:rsidRPr="00EB3226">
        <w:rPr>
          <w:szCs w:val="28"/>
        </w:rPr>
        <w:t xml:space="preserve">органа государственной власти, </w:t>
      </w:r>
      <w:r w:rsidR="006F4CDF">
        <w:rPr>
          <w:szCs w:val="28"/>
        </w:rPr>
        <w:t>14</w:t>
      </w:r>
      <w:r w:rsidR="007C60FD">
        <w:rPr>
          <w:szCs w:val="28"/>
        </w:rPr>
        <w:t>3</w:t>
      </w:r>
      <w:r w:rsidRPr="00EB3226">
        <w:rPr>
          <w:szCs w:val="28"/>
        </w:rPr>
        <w:t xml:space="preserve"> </w:t>
      </w:r>
      <w:r w:rsidR="00A445FA" w:rsidRPr="00EB3226">
        <w:rPr>
          <w:szCs w:val="28"/>
        </w:rPr>
        <w:t>государственных учреждений</w:t>
      </w:r>
      <w:r w:rsidRPr="00EB3226">
        <w:rPr>
          <w:szCs w:val="28"/>
        </w:rPr>
        <w:t xml:space="preserve">. Количество </w:t>
      </w:r>
      <w:r w:rsidR="00A445FA" w:rsidRPr="00EB3226">
        <w:rPr>
          <w:szCs w:val="28"/>
        </w:rPr>
        <w:t>государственных унитарных</w:t>
      </w:r>
      <w:r w:rsidRPr="00EB3226">
        <w:rPr>
          <w:szCs w:val="28"/>
        </w:rPr>
        <w:t xml:space="preserve"> предприятий </w:t>
      </w:r>
      <w:r w:rsidR="00A445FA" w:rsidRPr="00EB3226">
        <w:rPr>
          <w:szCs w:val="28"/>
        </w:rPr>
        <w:t>составляет</w:t>
      </w:r>
      <w:r w:rsidR="00B11B39">
        <w:rPr>
          <w:szCs w:val="28"/>
        </w:rPr>
        <w:br/>
      </w:r>
      <w:r w:rsidR="00A445FA" w:rsidRPr="00EB3226">
        <w:rPr>
          <w:szCs w:val="28"/>
        </w:rPr>
        <w:t>1</w:t>
      </w:r>
      <w:r w:rsidRPr="00EB3226">
        <w:rPr>
          <w:szCs w:val="28"/>
        </w:rPr>
        <w:t xml:space="preserve"> предприятие.</w:t>
      </w:r>
    </w:p>
    <w:p w:rsidR="006F5D75" w:rsidRPr="00EB3226" w:rsidRDefault="002D52E5" w:rsidP="00EB3226">
      <w:pPr>
        <w:autoSpaceDE w:val="0"/>
        <w:autoSpaceDN w:val="0"/>
        <w:adjustRightInd w:val="0"/>
        <w:ind w:firstLine="567"/>
        <w:jc w:val="both"/>
        <w:rPr>
          <w:szCs w:val="28"/>
        </w:rPr>
      </w:pPr>
      <w:r w:rsidRPr="00EB3226">
        <w:rPr>
          <w:szCs w:val="28"/>
        </w:rPr>
        <w:t>И</w:t>
      </w:r>
      <w:r w:rsidR="00591C57" w:rsidRPr="00EB3226">
        <w:rPr>
          <w:szCs w:val="28"/>
        </w:rPr>
        <w:t xml:space="preserve">сполнительным органом государственной власти Республики Алтай, </w:t>
      </w:r>
      <w:r w:rsidR="006F5D75" w:rsidRPr="00EB3226">
        <w:rPr>
          <w:szCs w:val="28"/>
        </w:rPr>
        <w:t xml:space="preserve">осуществляющим функции по реализации государственной финансовой (бюджетной, налоговой) политики в Республике Алтай, нормативно-правовому </w:t>
      </w:r>
      <w:r w:rsidR="006F5D75" w:rsidRPr="00EB3226">
        <w:rPr>
          <w:szCs w:val="28"/>
        </w:rPr>
        <w:lastRenderedPageBreak/>
        <w:t>регулированию в установленной сфере деятельности по оказанию государственных услуг</w:t>
      </w:r>
      <w:r w:rsidRPr="00EB3226">
        <w:rPr>
          <w:szCs w:val="28"/>
        </w:rPr>
        <w:t>, постановлением Правительства Республики Алтай от 1</w:t>
      </w:r>
      <w:r w:rsidR="00B03983" w:rsidRPr="00EB3226">
        <w:rPr>
          <w:szCs w:val="28"/>
        </w:rPr>
        <w:t>5</w:t>
      </w:r>
      <w:r w:rsidRPr="00EB3226">
        <w:rPr>
          <w:szCs w:val="28"/>
        </w:rPr>
        <w:t xml:space="preserve"> </w:t>
      </w:r>
      <w:r w:rsidR="00B03983" w:rsidRPr="00EB3226">
        <w:rPr>
          <w:szCs w:val="28"/>
        </w:rPr>
        <w:t>ноября</w:t>
      </w:r>
      <w:r w:rsidRPr="00EB3226">
        <w:rPr>
          <w:szCs w:val="28"/>
        </w:rPr>
        <w:t xml:space="preserve"> 201</w:t>
      </w:r>
      <w:r w:rsidR="00B03983" w:rsidRPr="00EB3226">
        <w:rPr>
          <w:szCs w:val="28"/>
        </w:rPr>
        <w:t xml:space="preserve">8 </w:t>
      </w:r>
      <w:r w:rsidRPr="00EB3226">
        <w:rPr>
          <w:szCs w:val="28"/>
        </w:rPr>
        <w:t xml:space="preserve">года № </w:t>
      </w:r>
      <w:r w:rsidR="00B03983" w:rsidRPr="00EB3226">
        <w:rPr>
          <w:szCs w:val="28"/>
        </w:rPr>
        <w:t>356</w:t>
      </w:r>
      <w:r w:rsidRPr="00EB3226">
        <w:rPr>
          <w:szCs w:val="28"/>
        </w:rPr>
        <w:t xml:space="preserve"> «Об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 определено Министерство финансов Респуб</w:t>
      </w:r>
      <w:r w:rsidR="008C6F0D" w:rsidRPr="00EB3226">
        <w:rPr>
          <w:szCs w:val="28"/>
        </w:rPr>
        <w:t>лики Алтай (далее – Минфин РА).</w:t>
      </w:r>
    </w:p>
    <w:p w:rsidR="00E3072D" w:rsidRPr="00EB3226" w:rsidRDefault="00E3072D" w:rsidP="00EB3226">
      <w:pPr>
        <w:pStyle w:val="af5"/>
        <w:ind w:firstLine="709"/>
        <w:jc w:val="both"/>
        <w:rPr>
          <w:szCs w:val="28"/>
          <w:lang w:eastAsia="en-US"/>
        </w:rPr>
      </w:pPr>
      <w:r w:rsidRPr="00EB3226">
        <w:rPr>
          <w:szCs w:val="28"/>
          <w:lang w:eastAsia="en-US"/>
        </w:rPr>
        <w:t>Министерство финансов Республики Алтай</w:t>
      </w:r>
      <w:r w:rsidR="00B11B39">
        <w:rPr>
          <w:szCs w:val="28"/>
          <w:lang w:eastAsia="en-US"/>
        </w:rPr>
        <w:t xml:space="preserve"> (далее Минфин РА)</w:t>
      </w:r>
      <w:r w:rsidRPr="00EB3226">
        <w:rPr>
          <w:szCs w:val="28"/>
          <w:lang w:eastAsia="en-US"/>
        </w:rPr>
        <w:t xml:space="preserve"> утвержден как исполнительный орган </w:t>
      </w:r>
      <w:r w:rsidR="00A445FA" w:rsidRPr="00EB3226">
        <w:rPr>
          <w:szCs w:val="28"/>
          <w:lang w:eastAsia="en-US"/>
        </w:rPr>
        <w:t>власти в</w:t>
      </w:r>
      <w:r w:rsidRPr="00EB3226">
        <w:rPr>
          <w:szCs w:val="28"/>
          <w:lang w:eastAsia="en-US"/>
        </w:rPr>
        <w:t xml:space="preserve"> составе структуры органов исполнительной власти Республики Алтай Указом Главы Республики Алтай, Председателем Правительства Республики </w:t>
      </w:r>
      <w:r w:rsidR="00A445FA" w:rsidRPr="00EB3226">
        <w:rPr>
          <w:szCs w:val="28"/>
          <w:lang w:eastAsia="en-US"/>
        </w:rPr>
        <w:t>Алтай от</w:t>
      </w:r>
      <w:r w:rsidRPr="00EB3226">
        <w:rPr>
          <w:szCs w:val="28"/>
          <w:lang w:eastAsia="en-US"/>
        </w:rPr>
        <w:t xml:space="preserve"> 22 октября 2014 </w:t>
      </w:r>
      <w:r w:rsidR="00A445FA" w:rsidRPr="00EB3226">
        <w:rPr>
          <w:szCs w:val="28"/>
          <w:lang w:eastAsia="en-US"/>
        </w:rPr>
        <w:t xml:space="preserve">года </w:t>
      </w:r>
      <w:r w:rsidR="00B11B39">
        <w:rPr>
          <w:szCs w:val="28"/>
          <w:lang w:eastAsia="en-US"/>
        </w:rPr>
        <w:br/>
      </w:r>
      <w:r w:rsidR="00A445FA" w:rsidRPr="00EB3226">
        <w:rPr>
          <w:szCs w:val="28"/>
          <w:lang w:eastAsia="en-US"/>
        </w:rPr>
        <w:t>№</w:t>
      </w:r>
      <w:r w:rsidRPr="00EB3226">
        <w:rPr>
          <w:szCs w:val="28"/>
          <w:lang w:eastAsia="en-US"/>
        </w:rPr>
        <w:t xml:space="preserve"> 272-у «О </w:t>
      </w:r>
      <w:r w:rsidR="00A445FA" w:rsidRPr="00EB3226">
        <w:rPr>
          <w:szCs w:val="28"/>
          <w:lang w:eastAsia="en-US"/>
        </w:rPr>
        <w:t>структуре исполнительных</w:t>
      </w:r>
      <w:r w:rsidRPr="00EB3226">
        <w:rPr>
          <w:szCs w:val="28"/>
          <w:lang w:eastAsia="en-US"/>
        </w:rPr>
        <w:t xml:space="preserve"> органов государственной власти Республики Алтай». </w:t>
      </w:r>
    </w:p>
    <w:p w:rsidR="00591C57" w:rsidRPr="00EB3226" w:rsidRDefault="002D52E5" w:rsidP="00EB3226">
      <w:pPr>
        <w:pStyle w:val="af5"/>
        <w:ind w:firstLine="567"/>
        <w:jc w:val="both"/>
        <w:rPr>
          <w:szCs w:val="28"/>
        </w:rPr>
      </w:pPr>
      <w:r w:rsidRPr="00EB3226">
        <w:rPr>
          <w:szCs w:val="28"/>
        </w:rPr>
        <w:t>Минфин РА</w:t>
      </w:r>
      <w:r w:rsidR="0017421A" w:rsidRPr="00EB3226">
        <w:rPr>
          <w:szCs w:val="28"/>
        </w:rPr>
        <w:t xml:space="preserve"> </w:t>
      </w:r>
      <w:r w:rsidR="00591C57" w:rsidRPr="00EB3226">
        <w:rPr>
          <w:szCs w:val="28"/>
        </w:rPr>
        <w:t xml:space="preserve">в своей деятельности руководствуется </w:t>
      </w:r>
      <w:hyperlink r:id="rId8" w:history="1">
        <w:r w:rsidR="00591C57" w:rsidRPr="00EB3226">
          <w:rPr>
            <w:szCs w:val="28"/>
          </w:rPr>
          <w:t>Конституцией</w:t>
        </w:r>
      </w:hyperlink>
      <w:r w:rsidR="00591C57" w:rsidRPr="00EB3226">
        <w:rPr>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9" w:history="1">
        <w:r w:rsidR="00591C57" w:rsidRPr="00EB3226">
          <w:rPr>
            <w:szCs w:val="28"/>
          </w:rPr>
          <w:t>Конституцией</w:t>
        </w:r>
      </w:hyperlink>
      <w:r w:rsidR="00591C57" w:rsidRPr="00EB3226">
        <w:rPr>
          <w:szCs w:val="28"/>
        </w:rPr>
        <w:t xml:space="preserve">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актами Министерства финансов Российской Федерации</w:t>
      </w:r>
      <w:r w:rsidR="0017421A" w:rsidRPr="00EB3226">
        <w:rPr>
          <w:szCs w:val="28"/>
        </w:rPr>
        <w:t xml:space="preserve"> и </w:t>
      </w:r>
      <w:r w:rsidR="00591C57" w:rsidRPr="00EB3226">
        <w:rPr>
          <w:szCs w:val="28"/>
        </w:rPr>
        <w:t>Положением</w:t>
      </w:r>
      <w:r w:rsidR="0017421A" w:rsidRPr="00EB3226">
        <w:rPr>
          <w:szCs w:val="28"/>
        </w:rPr>
        <w:t xml:space="preserve"> о Министерстве финансов Республики Алтай</w:t>
      </w:r>
      <w:r w:rsidR="00591C57" w:rsidRPr="00EB3226">
        <w:rPr>
          <w:szCs w:val="28"/>
        </w:rPr>
        <w:t>.</w:t>
      </w:r>
    </w:p>
    <w:p w:rsidR="0017421A" w:rsidRPr="00EB3226" w:rsidRDefault="002D52E5" w:rsidP="00EB3226">
      <w:pPr>
        <w:widowControl w:val="0"/>
        <w:autoSpaceDE w:val="0"/>
        <w:autoSpaceDN w:val="0"/>
        <w:adjustRightInd w:val="0"/>
        <w:ind w:firstLine="567"/>
        <w:jc w:val="both"/>
        <w:rPr>
          <w:szCs w:val="28"/>
        </w:rPr>
      </w:pPr>
      <w:r w:rsidRPr="00EB3226">
        <w:rPr>
          <w:szCs w:val="28"/>
        </w:rPr>
        <w:t>Основными задачами Минфина РА определены:</w:t>
      </w:r>
    </w:p>
    <w:p w:rsidR="006F5D75" w:rsidRPr="00EB3226" w:rsidRDefault="006F5D75" w:rsidP="00EB3226">
      <w:pPr>
        <w:autoSpaceDE w:val="0"/>
        <w:autoSpaceDN w:val="0"/>
        <w:adjustRightInd w:val="0"/>
        <w:ind w:firstLine="567"/>
        <w:jc w:val="both"/>
        <w:rPr>
          <w:bCs/>
          <w:iCs/>
          <w:szCs w:val="28"/>
        </w:rPr>
      </w:pPr>
      <w:r w:rsidRPr="00EB3226">
        <w:rPr>
          <w:bCs/>
          <w:iCs/>
          <w:szCs w:val="28"/>
        </w:rPr>
        <w:t>проведение бюджетной политики, обеспечивающей долгосрочную устойчивость республиканского бюджета Республики Алтай;</w:t>
      </w:r>
    </w:p>
    <w:p w:rsidR="006F5D75" w:rsidRPr="00EB3226" w:rsidRDefault="006F5D75" w:rsidP="00EB3226">
      <w:pPr>
        <w:autoSpaceDE w:val="0"/>
        <w:autoSpaceDN w:val="0"/>
        <w:adjustRightInd w:val="0"/>
        <w:ind w:firstLine="567"/>
        <w:jc w:val="both"/>
        <w:rPr>
          <w:bCs/>
          <w:iCs/>
          <w:szCs w:val="28"/>
        </w:rPr>
      </w:pPr>
      <w:r w:rsidRPr="00EB3226">
        <w:rPr>
          <w:bCs/>
          <w:iCs/>
          <w:szCs w:val="28"/>
        </w:rPr>
        <w:t>проведение налоговой политики, обеспечивающей укрепление доходной базы республиканского бюджета Республики Алтай;</w:t>
      </w:r>
    </w:p>
    <w:p w:rsidR="006F5D75" w:rsidRPr="00EB3226" w:rsidRDefault="006F5D75" w:rsidP="00EB3226">
      <w:pPr>
        <w:autoSpaceDE w:val="0"/>
        <w:autoSpaceDN w:val="0"/>
        <w:adjustRightInd w:val="0"/>
        <w:ind w:firstLine="567"/>
        <w:jc w:val="both"/>
        <w:rPr>
          <w:bCs/>
          <w:iCs/>
          <w:szCs w:val="28"/>
        </w:rPr>
      </w:pPr>
      <w:r w:rsidRPr="00EB3226">
        <w:rPr>
          <w:bCs/>
          <w:iCs/>
          <w:szCs w:val="28"/>
        </w:rPr>
        <w:t>составление и организация исполнения республиканского бюджета Республики Алтай и бюджетной отчетности;</w:t>
      </w:r>
    </w:p>
    <w:p w:rsidR="006F5D75" w:rsidRPr="00EB3226" w:rsidRDefault="006F5D75" w:rsidP="00EB3226">
      <w:pPr>
        <w:autoSpaceDE w:val="0"/>
        <w:autoSpaceDN w:val="0"/>
        <w:adjustRightInd w:val="0"/>
        <w:ind w:firstLine="567"/>
        <w:jc w:val="both"/>
        <w:rPr>
          <w:bCs/>
          <w:iCs/>
          <w:szCs w:val="28"/>
        </w:rPr>
      </w:pPr>
      <w:r w:rsidRPr="00EB3226">
        <w:rPr>
          <w:bCs/>
          <w:iCs/>
          <w:szCs w:val="28"/>
        </w:rPr>
        <w:t>совершенствование и автоматизация бюджетного процесса в Республике Алтай, создание и развитие единой информационной среды управления государственными финансами;</w:t>
      </w:r>
    </w:p>
    <w:p w:rsidR="006F5D75" w:rsidRPr="00EB3226" w:rsidRDefault="006F5D75" w:rsidP="00EB3226">
      <w:pPr>
        <w:autoSpaceDE w:val="0"/>
        <w:autoSpaceDN w:val="0"/>
        <w:adjustRightInd w:val="0"/>
        <w:ind w:firstLine="567"/>
        <w:jc w:val="both"/>
        <w:rPr>
          <w:bCs/>
          <w:iCs/>
          <w:szCs w:val="28"/>
        </w:rPr>
      </w:pPr>
      <w:r w:rsidRPr="00EB3226">
        <w:rPr>
          <w:bCs/>
          <w:iCs/>
          <w:szCs w:val="28"/>
        </w:rPr>
        <w:t>совершенствование межбюджетных отношений в Республике Алтай;</w:t>
      </w:r>
    </w:p>
    <w:p w:rsidR="00C97E05" w:rsidRDefault="006F5D75" w:rsidP="00EB3226">
      <w:pPr>
        <w:autoSpaceDE w:val="0"/>
        <w:autoSpaceDN w:val="0"/>
        <w:adjustRightInd w:val="0"/>
        <w:ind w:firstLine="567"/>
        <w:jc w:val="both"/>
        <w:rPr>
          <w:i/>
          <w:szCs w:val="28"/>
        </w:rPr>
      </w:pPr>
      <w:r w:rsidRPr="00EB3226">
        <w:rPr>
          <w:bCs/>
          <w:iCs/>
          <w:szCs w:val="28"/>
        </w:rPr>
        <w:t>повышение качества и доступности финансовой информации.</w:t>
      </w:r>
    </w:p>
    <w:p w:rsidR="00C83F47" w:rsidRPr="00EB3226" w:rsidRDefault="00C83F47" w:rsidP="00EB3226">
      <w:pPr>
        <w:autoSpaceDE w:val="0"/>
        <w:autoSpaceDN w:val="0"/>
        <w:adjustRightInd w:val="0"/>
        <w:ind w:firstLine="709"/>
        <w:jc w:val="both"/>
        <w:rPr>
          <w:szCs w:val="28"/>
        </w:rPr>
      </w:pPr>
      <w:r w:rsidRPr="00EB3226">
        <w:rPr>
          <w:szCs w:val="28"/>
        </w:rPr>
        <w:t>В 202</w:t>
      </w:r>
      <w:r w:rsidR="003E3602">
        <w:rPr>
          <w:szCs w:val="28"/>
        </w:rPr>
        <w:t>2</w:t>
      </w:r>
      <w:r w:rsidRPr="00EB3226">
        <w:rPr>
          <w:szCs w:val="28"/>
        </w:rPr>
        <w:t xml:space="preserve"> году была сохранена направленность налоговой и бюджетной политики </w:t>
      </w:r>
      <w:r w:rsidR="00A445FA" w:rsidRPr="00EB3226">
        <w:rPr>
          <w:szCs w:val="28"/>
        </w:rPr>
        <w:t>к содействию</w:t>
      </w:r>
      <w:r w:rsidRPr="00EB3226">
        <w:rPr>
          <w:szCs w:val="28"/>
        </w:rPr>
        <w:t xml:space="preserve"> социальному и экономическому развитию Республики Алтай в соответствии с долгосрочными </w:t>
      </w:r>
      <w:r w:rsidR="00A445FA" w:rsidRPr="00EB3226">
        <w:rPr>
          <w:szCs w:val="28"/>
        </w:rPr>
        <w:t>целями социально</w:t>
      </w:r>
      <w:r w:rsidRPr="00EB3226">
        <w:rPr>
          <w:szCs w:val="28"/>
        </w:rPr>
        <w:t xml:space="preserve">-экономического развития Республики Алтай, </w:t>
      </w:r>
      <w:r w:rsidR="00A445FA" w:rsidRPr="00EB3226">
        <w:rPr>
          <w:szCs w:val="28"/>
        </w:rPr>
        <w:t>утвержденным Постановлением</w:t>
      </w:r>
      <w:r w:rsidRPr="00EB3226">
        <w:rPr>
          <w:szCs w:val="28"/>
        </w:rPr>
        <w:t xml:space="preserve"> Правительства Республики Алтай от 13.03.2018 </w:t>
      </w:r>
      <w:r w:rsidR="002B42C1">
        <w:rPr>
          <w:szCs w:val="28"/>
        </w:rPr>
        <w:t>№</w:t>
      </w:r>
      <w:r w:rsidRPr="00EB3226">
        <w:rPr>
          <w:szCs w:val="28"/>
        </w:rPr>
        <w:t xml:space="preserve"> 60 "О Стратегии социально-экономического развития Республики Алтай на период до 2035 года".</w:t>
      </w:r>
    </w:p>
    <w:p w:rsidR="00C83F47" w:rsidRPr="00EB3226" w:rsidRDefault="00C83F47" w:rsidP="00EB3226">
      <w:pPr>
        <w:autoSpaceDE w:val="0"/>
        <w:autoSpaceDN w:val="0"/>
        <w:adjustRightInd w:val="0"/>
        <w:ind w:firstLine="567"/>
        <w:jc w:val="both"/>
        <w:rPr>
          <w:szCs w:val="28"/>
        </w:rPr>
      </w:pPr>
      <w:r w:rsidRPr="00EB3226">
        <w:rPr>
          <w:szCs w:val="28"/>
        </w:rPr>
        <w:t>Единая финансовая политика в Республике Алтай, включающая в себя комплекс задач, обозначенных Основными направлениями бюджетной и налоговой политики Республики Алтай на 202</w:t>
      </w:r>
      <w:r w:rsidR="003E3602">
        <w:rPr>
          <w:szCs w:val="28"/>
        </w:rPr>
        <w:t>2</w:t>
      </w:r>
      <w:r w:rsidRPr="00EB3226">
        <w:rPr>
          <w:szCs w:val="28"/>
        </w:rPr>
        <w:t>-202</w:t>
      </w:r>
      <w:r w:rsidR="003E3602">
        <w:rPr>
          <w:szCs w:val="28"/>
        </w:rPr>
        <w:t>4</w:t>
      </w:r>
      <w:r w:rsidRPr="00EB3226">
        <w:rPr>
          <w:szCs w:val="28"/>
        </w:rPr>
        <w:t xml:space="preserve"> годы, утвержденных постановлением Правительства Республики Алтай от </w:t>
      </w:r>
      <w:r w:rsidR="00BD3BA4" w:rsidRPr="00EB3226">
        <w:rPr>
          <w:szCs w:val="28"/>
        </w:rPr>
        <w:t>1</w:t>
      </w:r>
      <w:r w:rsidR="00B866BB">
        <w:rPr>
          <w:szCs w:val="28"/>
        </w:rPr>
        <w:t>0</w:t>
      </w:r>
      <w:r w:rsidR="00BD3BA4" w:rsidRPr="00EB3226">
        <w:rPr>
          <w:szCs w:val="28"/>
        </w:rPr>
        <w:t>.08.202</w:t>
      </w:r>
      <w:r w:rsidR="00B866BB">
        <w:rPr>
          <w:szCs w:val="28"/>
        </w:rPr>
        <w:t>1</w:t>
      </w:r>
      <w:r w:rsidR="00BD3BA4" w:rsidRPr="00EB3226">
        <w:rPr>
          <w:szCs w:val="28"/>
        </w:rPr>
        <w:t xml:space="preserve"> </w:t>
      </w:r>
      <w:r w:rsidR="00BD3BA4">
        <w:rPr>
          <w:szCs w:val="28"/>
        </w:rPr>
        <w:t>№</w:t>
      </w:r>
      <w:r w:rsidR="00BD3BA4" w:rsidRPr="00EB3226">
        <w:rPr>
          <w:szCs w:val="28"/>
        </w:rPr>
        <w:t xml:space="preserve"> 2</w:t>
      </w:r>
      <w:r w:rsidR="00B866BB">
        <w:rPr>
          <w:szCs w:val="28"/>
        </w:rPr>
        <w:t>31</w:t>
      </w:r>
      <w:r w:rsidRPr="00EB3226">
        <w:rPr>
          <w:szCs w:val="28"/>
        </w:rPr>
        <w:t xml:space="preserve">, а также постановлением </w:t>
      </w:r>
      <w:r w:rsidRPr="00EB3226">
        <w:rPr>
          <w:bCs/>
          <w:szCs w:val="28"/>
        </w:rPr>
        <w:t xml:space="preserve">Правительства Республики Алтай от </w:t>
      </w:r>
      <w:r w:rsidR="00BD3BA4">
        <w:rPr>
          <w:sz w:val="26"/>
          <w:szCs w:val="26"/>
        </w:rPr>
        <w:t>1</w:t>
      </w:r>
      <w:r w:rsidR="00894DD3">
        <w:rPr>
          <w:sz w:val="26"/>
          <w:szCs w:val="26"/>
        </w:rPr>
        <w:t>0</w:t>
      </w:r>
      <w:r w:rsidR="00BD3BA4">
        <w:rPr>
          <w:sz w:val="26"/>
          <w:szCs w:val="26"/>
        </w:rPr>
        <w:t>.01.202</w:t>
      </w:r>
      <w:r w:rsidR="00894DD3">
        <w:rPr>
          <w:sz w:val="26"/>
          <w:szCs w:val="26"/>
        </w:rPr>
        <w:t>2</w:t>
      </w:r>
      <w:r w:rsidR="00BD3BA4">
        <w:rPr>
          <w:sz w:val="26"/>
          <w:szCs w:val="26"/>
        </w:rPr>
        <w:t xml:space="preserve"> №</w:t>
      </w:r>
      <w:r w:rsidR="00BD3BA4" w:rsidRPr="00EC7078">
        <w:rPr>
          <w:sz w:val="26"/>
          <w:szCs w:val="26"/>
        </w:rPr>
        <w:t xml:space="preserve"> 1 </w:t>
      </w:r>
      <w:r w:rsidR="00BD3BA4" w:rsidRPr="00EC7078">
        <w:rPr>
          <w:szCs w:val="28"/>
        </w:rPr>
        <w:t xml:space="preserve">"О мерах по реализации Закона Республики Алтай "О республиканском бюджете Республики </w:t>
      </w:r>
      <w:r w:rsidR="00BD3BA4" w:rsidRPr="00EC7078">
        <w:rPr>
          <w:szCs w:val="28"/>
        </w:rPr>
        <w:lastRenderedPageBreak/>
        <w:t>Алтай на 202</w:t>
      </w:r>
      <w:r w:rsidR="003E3602">
        <w:rPr>
          <w:szCs w:val="28"/>
        </w:rPr>
        <w:t>2</w:t>
      </w:r>
      <w:r w:rsidR="00BD3BA4" w:rsidRPr="00EC7078">
        <w:rPr>
          <w:szCs w:val="28"/>
        </w:rPr>
        <w:t xml:space="preserve"> год и на плановый период 202</w:t>
      </w:r>
      <w:r w:rsidR="003E3602">
        <w:rPr>
          <w:szCs w:val="28"/>
        </w:rPr>
        <w:t>3</w:t>
      </w:r>
      <w:r w:rsidR="00BD3BA4" w:rsidRPr="00EC7078">
        <w:rPr>
          <w:szCs w:val="28"/>
        </w:rPr>
        <w:t xml:space="preserve"> и 202</w:t>
      </w:r>
      <w:r w:rsidR="003E3602">
        <w:rPr>
          <w:szCs w:val="28"/>
        </w:rPr>
        <w:t>4</w:t>
      </w:r>
      <w:r w:rsidR="00BD3BA4" w:rsidRPr="00EC7078">
        <w:rPr>
          <w:szCs w:val="28"/>
        </w:rPr>
        <w:t xml:space="preserve"> годов"</w:t>
      </w:r>
      <w:r w:rsidRPr="00EB3226">
        <w:rPr>
          <w:iCs/>
          <w:szCs w:val="28"/>
        </w:rPr>
        <w:t xml:space="preserve">, </w:t>
      </w:r>
      <w:r w:rsidRPr="00EB3226">
        <w:rPr>
          <w:szCs w:val="28"/>
        </w:rPr>
        <w:t xml:space="preserve">на перспективу </w:t>
      </w:r>
      <w:r w:rsidRPr="00EB3226">
        <w:rPr>
          <w:bCs/>
          <w:szCs w:val="28"/>
        </w:rPr>
        <w:t>п</w:t>
      </w:r>
      <w:r w:rsidRPr="00EB3226">
        <w:rPr>
          <w:szCs w:val="28"/>
        </w:rPr>
        <w:t xml:space="preserve">остановление Правительства Республики Алтай от </w:t>
      </w:r>
      <w:r w:rsidR="00BD3BA4" w:rsidRPr="002B7848">
        <w:rPr>
          <w:sz w:val="26"/>
          <w:szCs w:val="26"/>
        </w:rPr>
        <w:t>1</w:t>
      </w:r>
      <w:r w:rsidR="00B866BB">
        <w:rPr>
          <w:sz w:val="26"/>
          <w:szCs w:val="26"/>
        </w:rPr>
        <w:t>6</w:t>
      </w:r>
      <w:r w:rsidR="00BD3BA4" w:rsidRPr="002B7848">
        <w:rPr>
          <w:sz w:val="26"/>
          <w:szCs w:val="26"/>
        </w:rPr>
        <w:t>.08.202</w:t>
      </w:r>
      <w:r w:rsidR="00B866BB">
        <w:rPr>
          <w:sz w:val="26"/>
          <w:szCs w:val="26"/>
        </w:rPr>
        <w:t>2</w:t>
      </w:r>
      <w:r w:rsidR="00BD3BA4" w:rsidRPr="002B7848">
        <w:rPr>
          <w:sz w:val="26"/>
          <w:szCs w:val="26"/>
        </w:rPr>
        <w:t xml:space="preserve"> </w:t>
      </w:r>
      <w:r w:rsidR="00BD3BA4">
        <w:rPr>
          <w:sz w:val="26"/>
          <w:szCs w:val="26"/>
        </w:rPr>
        <w:t>№</w:t>
      </w:r>
      <w:r w:rsidR="00BD3BA4" w:rsidRPr="002B7848">
        <w:rPr>
          <w:sz w:val="26"/>
          <w:szCs w:val="26"/>
        </w:rPr>
        <w:t xml:space="preserve"> 2</w:t>
      </w:r>
      <w:r w:rsidR="00B866BB">
        <w:rPr>
          <w:sz w:val="26"/>
          <w:szCs w:val="26"/>
        </w:rPr>
        <w:t>79</w:t>
      </w:r>
      <w:r w:rsidR="00BD3BA4" w:rsidRPr="002B7848">
        <w:rPr>
          <w:sz w:val="26"/>
          <w:szCs w:val="26"/>
        </w:rPr>
        <w:t xml:space="preserve"> </w:t>
      </w:r>
      <w:r w:rsidR="00BD3BA4" w:rsidRPr="002B7848">
        <w:rPr>
          <w:szCs w:val="28"/>
        </w:rPr>
        <w:t>"Об основных направлениях бюджетной и налоговой политики Республики Алтай на 202</w:t>
      </w:r>
      <w:r w:rsidR="003E3602">
        <w:rPr>
          <w:szCs w:val="28"/>
        </w:rPr>
        <w:t>3</w:t>
      </w:r>
      <w:r w:rsidR="00BD3BA4" w:rsidRPr="002B7848">
        <w:rPr>
          <w:szCs w:val="28"/>
        </w:rPr>
        <w:t xml:space="preserve"> год и на плановый период 202</w:t>
      </w:r>
      <w:r w:rsidR="003E3602">
        <w:rPr>
          <w:szCs w:val="28"/>
        </w:rPr>
        <w:t>4</w:t>
      </w:r>
      <w:r w:rsidR="00BD3BA4" w:rsidRPr="002B7848">
        <w:rPr>
          <w:szCs w:val="28"/>
        </w:rPr>
        <w:t xml:space="preserve"> и 202</w:t>
      </w:r>
      <w:r w:rsidR="003E3602">
        <w:rPr>
          <w:szCs w:val="28"/>
        </w:rPr>
        <w:t>5</w:t>
      </w:r>
      <w:r w:rsidR="00BD3BA4" w:rsidRPr="002B7848">
        <w:rPr>
          <w:szCs w:val="28"/>
        </w:rPr>
        <w:t xml:space="preserve"> годов"</w:t>
      </w:r>
      <w:r w:rsidRPr="00EB3226">
        <w:rPr>
          <w:szCs w:val="28"/>
        </w:rPr>
        <w:t>.</w:t>
      </w:r>
    </w:p>
    <w:p w:rsidR="00CD521B" w:rsidRDefault="00CD521B" w:rsidP="00B11B39">
      <w:pPr>
        <w:ind w:firstLine="567"/>
        <w:jc w:val="both"/>
        <w:rPr>
          <w:szCs w:val="28"/>
        </w:rPr>
      </w:pPr>
      <w:r w:rsidRPr="00E25236">
        <w:rPr>
          <w:szCs w:val="28"/>
        </w:rPr>
        <w:t>В 202</w:t>
      </w:r>
      <w:r w:rsidR="00894DD3">
        <w:rPr>
          <w:szCs w:val="28"/>
        </w:rPr>
        <w:t>2</w:t>
      </w:r>
      <w:r w:rsidRPr="00E25236">
        <w:rPr>
          <w:szCs w:val="28"/>
        </w:rPr>
        <w:t xml:space="preserve"> году проведена работа по организации обеспечения сбалансированности </w:t>
      </w:r>
      <w:r>
        <w:rPr>
          <w:szCs w:val="28"/>
        </w:rPr>
        <w:t>республиканского</w:t>
      </w:r>
      <w:r w:rsidRPr="00E25236">
        <w:rPr>
          <w:szCs w:val="28"/>
        </w:rPr>
        <w:t xml:space="preserve"> бюджета Республики Алтай в условиях </w:t>
      </w:r>
      <w:r w:rsidR="00894DD3">
        <w:rPr>
          <w:szCs w:val="28"/>
        </w:rPr>
        <w:t>сложной экономической ситуации, введением санкций</w:t>
      </w:r>
      <w:r w:rsidR="008A5F93">
        <w:rPr>
          <w:szCs w:val="28"/>
        </w:rPr>
        <w:t>,</w:t>
      </w:r>
      <w:r w:rsidR="00894DD3">
        <w:rPr>
          <w:szCs w:val="28"/>
        </w:rPr>
        <w:t xml:space="preserve"> ростом цен на товары</w:t>
      </w:r>
      <w:r w:rsidR="00AC28D3">
        <w:rPr>
          <w:szCs w:val="28"/>
        </w:rPr>
        <w:t xml:space="preserve">, а также </w:t>
      </w:r>
      <w:r>
        <w:rPr>
          <w:szCs w:val="28"/>
        </w:rPr>
        <w:t>необходимост</w:t>
      </w:r>
      <w:r w:rsidR="00894DD3">
        <w:rPr>
          <w:szCs w:val="28"/>
        </w:rPr>
        <w:t>ью</w:t>
      </w:r>
      <w:r w:rsidR="00374107">
        <w:rPr>
          <w:szCs w:val="28"/>
        </w:rPr>
        <w:t xml:space="preserve"> достижения результатов </w:t>
      </w:r>
      <w:r>
        <w:rPr>
          <w:szCs w:val="28"/>
        </w:rPr>
        <w:t>реализации национальных проектов</w:t>
      </w:r>
      <w:r w:rsidR="00894DD3">
        <w:rPr>
          <w:szCs w:val="28"/>
        </w:rPr>
        <w:t xml:space="preserve"> и </w:t>
      </w:r>
      <w:r w:rsidR="00926C5C">
        <w:rPr>
          <w:szCs w:val="28"/>
        </w:rPr>
        <w:t xml:space="preserve"> мод</w:t>
      </w:r>
      <w:r w:rsidR="008A5F93">
        <w:rPr>
          <w:szCs w:val="28"/>
        </w:rPr>
        <w:t>ернизации системы общего образования</w:t>
      </w:r>
      <w:r>
        <w:rPr>
          <w:szCs w:val="28"/>
        </w:rPr>
        <w:t xml:space="preserve">. </w:t>
      </w:r>
    </w:p>
    <w:p w:rsidR="00CD521B" w:rsidRPr="009F5E0A" w:rsidRDefault="00AC28D3" w:rsidP="00CD521B">
      <w:pPr>
        <w:autoSpaceDE w:val="0"/>
        <w:autoSpaceDN w:val="0"/>
        <w:adjustRightInd w:val="0"/>
        <w:ind w:firstLine="567"/>
        <w:jc w:val="both"/>
        <w:rPr>
          <w:color w:val="000000"/>
          <w:szCs w:val="28"/>
        </w:rPr>
      </w:pPr>
      <w:r>
        <w:rPr>
          <w:bCs/>
          <w:color w:val="000000"/>
          <w:szCs w:val="28"/>
        </w:rPr>
        <w:t>Кроме того,</w:t>
      </w:r>
      <w:r w:rsidR="00CD521B" w:rsidRPr="009F5E0A">
        <w:rPr>
          <w:bCs/>
          <w:color w:val="000000"/>
          <w:szCs w:val="28"/>
        </w:rPr>
        <w:t xml:space="preserve"> реализованы меры, направленные на повышение результативности предоставления межбюджетных трансфертов муниципальным образованиям в Республике Алтай, в том числе обеспечено в соответствии с бюджетным законодательством предоставление муниципальным образованиям из республиканского бюджета межбюджетных трансфертов, проведение оценки качества управления муниципальными финансами, обеспечено заключение соглашений с муниципальными образованиями в Республике Алтай, которыми предусмотрены меры по их социально-экономическому развитию, и проведен контроль за соблюдением муниципалитетами условий и обязательств согласно соглашениям.</w:t>
      </w:r>
    </w:p>
    <w:p w:rsidR="00CD521B" w:rsidRPr="00EB3226" w:rsidRDefault="00CD521B" w:rsidP="00CD521B">
      <w:pPr>
        <w:autoSpaceDE w:val="0"/>
        <w:autoSpaceDN w:val="0"/>
        <w:adjustRightInd w:val="0"/>
        <w:ind w:firstLine="567"/>
        <w:jc w:val="both"/>
        <w:rPr>
          <w:color w:val="000000"/>
          <w:szCs w:val="28"/>
        </w:rPr>
      </w:pPr>
      <w:r w:rsidRPr="00EB3226">
        <w:rPr>
          <w:iCs/>
          <w:szCs w:val="28"/>
        </w:rPr>
        <w:t>Приоритет</w:t>
      </w:r>
      <w:r>
        <w:rPr>
          <w:iCs/>
          <w:szCs w:val="28"/>
        </w:rPr>
        <w:t xml:space="preserve">ными направлениями  финансирования расходов  республиканского бюджета </w:t>
      </w:r>
      <w:r w:rsidRPr="00EB3226">
        <w:rPr>
          <w:iCs/>
          <w:szCs w:val="28"/>
        </w:rPr>
        <w:t>в 202</w:t>
      </w:r>
      <w:r w:rsidR="0006034E">
        <w:rPr>
          <w:iCs/>
          <w:szCs w:val="28"/>
        </w:rPr>
        <w:t>2</w:t>
      </w:r>
      <w:r w:rsidRPr="00EB3226">
        <w:rPr>
          <w:iCs/>
          <w:szCs w:val="28"/>
        </w:rPr>
        <w:t xml:space="preserve"> году были мероприятия по финансовому обеспечению к</w:t>
      </w:r>
      <w:r w:rsidRPr="00EB3226">
        <w:rPr>
          <w:color w:val="000000"/>
          <w:szCs w:val="28"/>
        </w:rPr>
        <w:t xml:space="preserve">омплекса задач, определенных </w:t>
      </w:r>
      <w:r w:rsidRPr="00EB3226">
        <w:rPr>
          <w:szCs w:val="28"/>
        </w:rPr>
        <w:t>Указом Президента Российской Федерации от 7 мая 2018 года № 204 «</w:t>
      </w:r>
      <w:r w:rsidRPr="00D94A93">
        <w:rPr>
          <w:rFonts w:eastAsia="Calibri"/>
          <w:szCs w:val="28"/>
          <w:lang w:eastAsia="en-US"/>
        </w:rPr>
        <w:t>О национальных целях и стратегических задачах развития Российской Федерации на период до 2024 года»</w:t>
      </w:r>
      <w:r w:rsidRPr="00EB3226">
        <w:rPr>
          <w:color w:val="000000"/>
          <w:szCs w:val="28"/>
        </w:rPr>
        <w:t>, Индивидуальной программы социально-экономического развития Республики Алтай на 2020 - 2024 годы, утвержденной Распоряжением Правительства РФ от 09.04.2020 г. № 937-р, выполнение публично –нормативных обязательств,</w:t>
      </w:r>
      <w:r w:rsidR="0006034E">
        <w:rPr>
          <w:color w:val="000000"/>
          <w:szCs w:val="28"/>
        </w:rPr>
        <w:t xml:space="preserve"> включая меры по оказанию социальной поддержки участников специальной военной операции и</w:t>
      </w:r>
      <w:r w:rsidR="00B21B4B">
        <w:rPr>
          <w:color w:val="000000"/>
          <w:szCs w:val="28"/>
        </w:rPr>
        <w:t xml:space="preserve"> членов</w:t>
      </w:r>
      <w:r w:rsidR="00353B20">
        <w:rPr>
          <w:color w:val="000000"/>
          <w:szCs w:val="28"/>
        </w:rPr>
        <w:t xml:space="preserve"> </w:t>
      </w:r>
      <w:r w:rsidR="0006034E">
        <w:rPr>
          <w:color w:val="000000"/>
          <w:szCs w:val="28"/>
        </w:rPr>
        <w:t>их семей,</w:t>
      </w:r>
      <w:r w:rsidRPr="00EB3226">
        <w:rPr>
          <w:color w:val="000000"/>
          <w:szCs w:val="28"/>
        </w:rPr>
        <w:t xml:space="preserve"> обеспечение минимального размера оплаты труда и </w:t>
      </w:r>
      <w:r w:rsidRPr="00EB3226">
        <w:rPr>
          <w:rFonts w:eastAsia="Calibri"/>
          <w:szCs w:val="28"/>
          <w:lang w:eastAsia="en-US"/>
        </w:rPr>
        <w:t xml:space="preserve">достижение показателей, установленных Указами Президента Российской Федерации от 7 мая 2012 года №№ </w:t>
      </w:r>
      <w:hyperlink r:id="rId10" w:history="1">
        <w:r w:rsidRPr="00EB3226">
          <w:rPr>
            <w:rFonts w:eastAsia="Calibri"/>
            <w:szCs w:val="28"/>
            <w:lang w:eastAsia="en-US"/>
          </w:rPr>
          <w:t>597</w:t>
        </w:r>
      </w:hyperlink>
      <w:r w:rsidRPr="00EB3226">
        <w:rPr>
          <w:rFonts w:eastAsia="Calibri"/>
          <w:szCs w:val="28"/>
          <w:lang w:eastAsia="en-US"/>
        </w:rPr>
        <w:t xml:space="preserve">, </w:t>
      </w:r>
      <w:hyperlink r:id="rId11" w:history="1">
        <w:r w:rsidRPr="00EB3226">
          <w:rPr>
            <w:rFonts w:eastAsia="Calibri"/>
            <w:szCs w:val="28"/>
            <w:lang w:eastAsia="en-US"/>
          </w:rPr>
          <w:t>599</w:t>
        </w:r>
      </w:hyperlink>
      <w:r w:rsidRPr="00EB3226">
        <w:rPr>
          <w:rFonts w:eastAsia="Calibri"/>
          <w:szCs w:val="28"/>
          <w:lang w:eastAsia="en-US"/>
        </w:rPr>
        <w:t>, от 1 июня 2012 года №</w:t>
      </w:r>
      <w:hyperlink r:id="rId12" w:history="1">
        <w:r w:rsidRPr="00EB3226">
          <w:rPr>
            <w:rFonts w:eastAsia="Calibri"/>
            <w:szCs w:val="28"/>
            <w:lang w:eastAsia="en-US"/>
          </w:rPr>
          <w:t>761</w:t>
        </w:r>
      </w:hyperlink>
      <w:r w:rsidRPr="00EB3226">
        <w:rPr>
          <w:rFonts w:eastAsia="Calibri"/>
          <w:szCs w:val="28"/>
          <w:lang w:eastAsia="en-US"/>
        </w:rPr>
        <w:t xml:space="preserve">, от 28 декабря 2012 года </w:t>
      </w:r>
      <w:hyperlink r:id="rId13" w:history="1">
        <w:r w:rsidRPr="00EB3226">
          <w:rPr>
            <w:rFonts w:eastAsia="Calibri"/>
            <w:szCs w:val="28"/>
            <w:lang w:eastAsia="en-US"/>
          </w:rPr>
          <w:t>№1688</w:t>
        </w:r>
      </w:hyperlink>
      <w:r>
        <w:rPr>
          <w:rFonts w:eastAsia="Calibri"/>
          <w:szCs w:val="28"/>
          <w:lang w:eastAsia="en-US"/>
        </w:rPr>
        <w:t xml:space="preserve"> </w:t>
      </w:r>
      <w:r w:rsidR="0006034E">
        <w:rPr>
          <w:rFonts w:eastAsia="Calibri"/>
          <w:szCs w:val="28"/>
          <w:lang w:eastAsia="en-US"/>
        </w:rPr>
        <w:t xml:space="preserve">, </w:t>
      </w:r>
      <w:r w:rsidR="0006034E" w:rsidRPr="00EB3226">
        <w:rPr>
          <w:iCs/>
          <w:szCs w:val="28"/>
        </w:rPr>
        <w:t xml:space="preserve">мер по предупреждению распространению </w:t>
      </w:r>
      <w:proofErr w:type="spellStart"/>
      <w:r w:rsidR="0006034E" w:rsidRPr="00EB3226">
        <w:rPr>
          <w:iCs/>
          <w:szCs w:val="28"/>
        </w:rPr>
        <w:t>коронавирусной</w:t>
      </w:r>
      <w:proofErr w:type="spellEnd"/>
      <w:r w:rsidR="0006034E" w:rsidRPr="00EB3226">
        <w:rPr>
          <w:iCs/>
          <w:szCs w:val="28"/>
        </w:rPr>
        <w:t xml:space="preserve"> инфекции </w:t>
      </w:r>
      <w:proofErr w:type="spellStart"/>
      <w:r w:rsidR="0006034E" w:rsidRPr="00EB3226">
        <w:rPr>
          <w:iCs/>
          <w:szCs w:val="28"/>
          <w:lang w:val="en-US"/>
        </w:rPr>
        <w:t>Covid</w:t>
      </w:r>
      <w:proofErr w:type="spellEnd"/>
      <w:r w:rsidR="0006034E" w:rsidRPr="00EB3226">
        <w:rPr>
          <w:iCs/>
          <w:szCs w:val="28"/>
        </w:rPr>
        <w:t xml:space="preserve">-19 и </w:t>
      </w:r>
      <w:r>
        <w:rPr>
          <w:rFonts w:eastAsia="Calibri"/>
          <w:szCs w:val="28"/>
          <w:lang w:eastAsia="en-US"/>
        </w:rPr>
        <w:t xml:space="preserve"> финансовое обеспечение выполнения государственного задания.</w:t>
      </w:r>
    </w:p>
    <w:p w:rsidR="00C83F47" w:rsidRPr="00EB3226" w:rsidRDefault="00C83F47" w:rsidP="007D5839">
      <w:pPr>
        <w:autoSpaceDE w:val="0"/>
        <w:autoSpaceDN w:val="0"/>
        <w:adjustRightInd w:val="0"/>
        <w:ind w:firstLine="567"/>
        <w:jc w:val="both"/>
        <w:rPr>
          <w:szCs w:val="28"/>
        </w:rPr>
      </w:pPr>
      <w:r w:rsidRPr="00EB3226">
        <w:rPr>
          <w:szCs w:val="28"/>
        </w:rPr>
        <w:t>Приоритетом в сфере управления государственным долгом Республики Алтай является проведение взвешенной политики, предусматривающей меры по поэтапному снижению долговой нагрузки на республиканский бюджет, сохранению объема государственного долга республики на экономически безопасном уровне для бюджета.</w:t>
      </w:r>
    </w:p>
    <w:p w:rsidR="00C83F47" w:rsidRPr="00EB3226" w:rsidRDefault="00C83F47" w:rsidP="007D5839">
      <w:pPr>
        <w:ind w:firstLine="567"/>
        <w:jc w:val="both"/>
        <w:rPr>
          <w:szCs w:val="28"/>
        </w:rPr>
      </w:pPr>
      <w:r w:rsidRPr="00EB3226">
        <w:rPr>
          <w:szCs w:val="28"/>
        </w:rPr>
        <w:t>Республика Алтай имеет положительную кредитную историю во всех кредитных организациях, а также в Министерстве финансов Российской Федерации, все условия кредитных договоров исполнялись своевременно и в полном объеме.</w:t>
      </w:r>
    </w:p>
    <w:p w:rsidR="00C83F47" w:rsidRPr="00EB3226" w:rsidRDefault="00C83F47" w:rsidP="007D5839">
      <w:pPr>
        <w:widowControl w:val="0"/>
        <w:autoSpaceDE w:val="0"/>
        <w:autoSpaceDN w:val="0"/>
        <w:adjustRightInd w:val="0"/>
        <w:ind w:firstLine="567"/>
        <w:jc w:val="both"/>
        <w:rPr>
          <w:szCs w:val="28"/>
        </w:rPr>
      </w:pPr>
      <w:r w:rsidRPr="00EB3226">
        <w:rPr>
          <w:szCs w:val="28"/>
        </w:rPr>
        <w:t xml:space="preserve">В целом проводимая долговая политика позволила снизить долговую </w:t>
      </w:r>
      <w:r w:rsidRPr="00EB3226">
        <w:rPr>
          <w:szCs w:val="28"/>
        </w:rPr>
        <w:lastRenderedPageBreak/>
        <w:t>нагрузку на республиканский бюджет и более равномерно распределить ее во времени, повысить сбалансированность республиканского бюджета.</w:t>
      </w:r>
    </w:p>
    <w:p w:rsidR="00A57CEF" w:rsidRPr="00EB3226" w:rsidRDefault="00A57CEF" w:rsidP="007D5839">
      <w:pPr>
        <w:ind w:firstLine="567"/>
        <w:jc w:val="both"/>
        <w:rPr>
          <w:szCs w:val="28"/>
        </w:rPr>
      </w:pPr>
      <w:r w:rsidRPr="00EB3226">
        <w:rPr>
          <w:szCs w:val="28"/>
        </w:rPr>
        <w:t>Республикой Алтай в 202</w:t>
      </w:r>
      <w:r w:rsidR="003E3602">
        <w:rPr>
          <w:szCs w:val="28"/>
        </w:rPr>
        <w:t>2</w:t>
      </w:r>
      <w:r w:rsidRPr="00EB3226">
        <w:rPr>
          <w:szCs w:val="28"/>
        </w:rPr>
        <w:t xml:space="preserve"> году не допускалось превышение предельных ограничений, установленных бюджетным законодательством в отношении дефицита бюджета, объема заимствований и объема государственного долга субъекта Российской Федерации.</w:t>
      </w:r>
    </w:p>
    <w:p w:rsidR="00A57CEF" w:rsidRPr="00EB3226" w:rsidRDefault="00A57CEF" w:rsidP="00A57CEF">
      <w:pPr>
        <w:pStyle w:val="rtejustify"/>
        <w:spacing w:before="0" w:beforeAutospacing="0" w:after="0" w:afterAutospacing="0"/>
        <w:ind w:firstLine="567"/>
        <w:jc w:val="both"/>
        <w:rPr>
          <w:i/>
          <w:szCs w:val="28"/>
        </w:rPr>
      </w:pPr>
    </w:p>
    <w:p w:rsidR="00EE61B8" w:rsidRPr="00EB3226" w:rsidRDefault="00EE61B8" w:rsidP="00EB3226">
      <w:pPr>
        <w:ind w:firstLine="567"/>
        <w:jc w:val="center"/>
        <w:rPr>
          <w:i/>
          <w:szCs w:val="28"/>
        </w:rPr>
      </w:pPr>
      <w:r w:rsidRPr="00EB3226">
        <w:rPr>
          <w:i/>
          <w:szCs w:val="28"/>
        </w:rPr>
        <w:t xml:space="preserve">Анализ отчета об исполнении </w:t>
      </w:r>
      <w:r w:rsidR="00D67C13" w:rsidRPr="00EB3226">
        <w:rPr>
          <w:i/>
          <w:szCs w:val="28"/>
        </w:rPr>
        <w:t xml:space="preserve">республиканского </w:t>
      </w:r>
      <w:r w:rsidRPr="00EB3226">
        <w:rPr>
          <w:i/>
          <w:szCs w:val="28"/>
        </w:rPr>
        <w:t>бюджета Республики Алтай</w:t>
      </w:r>
    </w:p>
    <w:p w:rsidR="00EE61B8" w:rsidRPr="00EB3226" w:rsidRDefault="00EE61B8" w:rsidP="00EB3226">
      <w:pPr>
        <w:ind w:firstLine="567"/>
        <w:jc w:val="center"/>
        <w:rPr>
          <w:i/>
          <w:szCs w:val="28"/>
        </w:rPr>
      </w:pPr>
    </w:p>
    <w:p w:rsidR="00554A16" w:rsidRPr="00EB3226" w:rsidRDefault="00554A16" w:rsidP="00EB3226">
      <w:pPr>
        <w:ind w:firstLine="708"/>
        <w:jc w:val="both"/>
        <w:rPr>
          <w:szCs w:val="28"/>
        </w:rPr>
      </w:pPr>
      <w:r w:rsidRPr="00EB3226">
        <w:rPr>
          <w:szCs w:val="28"/>
        </w:rPr>
        <w:t>Основные параметры республиканского бюджета Республики Алтай (далее – республиканский бюджет) за 20</w:t>
      </w:r>
      <w:r w:rsidR="00764DAB" w:rsidRPr="00EB3226">
        <w:rPr>
          <w:szCs w:val="28"/>
        </w:rPr>
        <w:t>2</w:t>
      </w:r>
      <w:r w:rsidR="003E3602">
        <w:rPr>
          <w:szCs w:val="28"/>
        </w:rPr>
        <w:t>2</w:t>
      </w:r>
      <w:r w:rsidRPr="00EB3226">
        <w:rPr>
          <w:szCs w:val="28"/>
        </w:rPr>
        <w:t xml:space="preserve"> год исполнены следующим образом:</w:t>
      </w:r>
    </w:p>
    <w:p w:rsidR="00554A16" w:rsidRPr="00EB3226" w:rsidRDefault="00554A16" w:rsidP="00EB3226">
      <w:pPr>
        <w:ind w:firstLine="708"/>
        <w:jc w:val="both"/>
        <w:rPr>
          <w:szCs w:val="28"/>
        </w:rPr>
      </w:pPr>
      <w:r w:rsidRPr="00EB3226">
        <w:rPr>
          <w:szCs w:val="28"/>
        </w:rPr>
        <w:t xml:space="preserve">по доходам в сумме </w:t>
      </w:r>
      <w:r w:rsidR="00255EFF">
        <w:rPr>
          <w:szCs w:val="28"/>
        </w:rPr>
        <w:t>31 726 869,6</w:t>
      </w:r>
      <w:r w:rsidRPr="00EB3226">
        <w:rPr>
          <w:szCs w:val="28"/>
        </w:rPr>
        <w:t xml:space="preserve"> тыс. рублей, или 9</w:t>
      </w:r>
      <w:r w:rsidR="00255EFF">
        <w:rPr>
          <w:szCs w:val="28"/>
        </w:rPr>
        <w:t>9,9</w:t>
      </w:r>
      <w:r w:rsidRPr="00EB3226">
        <w:rPr>
          <w:szCs w:val="28"/>
        </w:rPr>
        <w:t xml:space="preserve"> % от плановых назначений; </w:t>
      </w:r>
    </w:p>
    <w:p w:rsidR="00554A16" w:rsidRPr="00EB3226" w:rsidRDefault="00554A16" w:rsidP="00EB3226">
      <w:pPr>
        <w:ind w:firstLine="708"/>
        <w:jc w:val="both"/>
        <w:rPr>
          <w:szCs w:val="28"/>
        </w:rPr>
      </w:pPr>
      <w:r w:rsidRPr="00EB3226">
        <w:rPr>
          <w:szCs w:val="28"/>
        </w:rPr>
        <w:t>по расходам в сумме</w:t>
      </w:r>
      <w:r w:rsidRPr="00EB3226">
        <w:rPr>
          <w:color w:val="000000"/>
          <w:szCs w:val="28"/>
        </w:rPr>
        <w:t xml:space="preserve"> </w:t>
      </w:r>
      <w:r w:rsidR="00255EFF">
        <w:rPr>
          <w:color w:val="000000"/>
          <w:szCs w:val="28"/>
        </w:rPr>
        <w:t>32 643 615,7</w:t>
      </w:r>
      <w:r w:rsidRPr="00EB3226">
        <w:rPr>
          <w:color w:val="000000"/>
          <w:szCs w:val="28"/>
        </w:rPr>
        <w:t xml:space="preserve"> </w:t>
      </w:r>
      <w:r w:rsidRPr="00EB3226">
        <w:rPr>
          <w:szCs w:val="28"/>
        </w:rPr>
        <w:t xml:space="preserve">тыс. рублей, или </w:t>
      </w:r>
      <w:r w:rsidR="00255EFF">
        <w:rPr>
          <w:szCs w:val="28"/>
        </w:rPr>
        <w:t>97,1</w:t>
      </w:r>
      <w:r w:rsidR="007A2A33">
        <w:rPr>
          <w:szCs w:val="28"/>
        </w:rPr>
        <w:t xml:space="preserve"> </w:t>
      </w:r>
      <w:r w:rsidRPr="00EB3226">
        <w:rPr>
          <w:szCs w:val="28"/>
        </w:rPr>
        <w:t>% от плановых назначений.</w:t>
      </w:r>
    </w:p>
    <w:p w:rsidR="005C45BC" w:rsidRDefault="005C45BC" w:rsidP="00EB3226">
      <w:pPr>
        <w:ind w:firstLine="567"/>
        <w:jc w:val="both"/>
        <w:rPr>
          <w:szCs w:val="28"/>
        </w:rPr>
      </w:pPr>
      <w:r w:rsidRPr="00EB3226">
        <w:rPr>
          <w:color w:val="000000"/>
          <w:szCs w:val="28"/>
        </w:rPr>
        <w:t>За 202</w:t>
      </w:r>
      <w:r w:rsidR="003E3602">
        <w:rPr>
          <w:color w:val="000000"/>
          <w:szCs w:val="28"/>
        </w:rPr>
        <w:t>2</w:t>
      </w:r>
      <w:r w:rsidRPr="00EB3226">
        <w:rPr>
          <w:color w:val="000000"/>
          <w:szCs w:val="28"/>
        </w:rPr>
        <w:t xml:space="preserve"> год республиканский бюджет исполнен с </w:t>
      </w:r>
      <w:r w:rsidR="00255EFF">
        <w:rPr>
          <w:color w:val="000000"/>
          <w:szCs w:val="28"/>
        </w:rPr>
        <w:t xml:space="preserve">дефицитом </w:t>
      </w:r>
      <w:r w:rsidRPr="00EB3226">
        <w:rPr>
          <w:color w:val="000000"/>
          <w:szCs w:val="28"/>
        </w:rPr>
        <w:t xml:space="preserve">в размере </w:t>
      </w:r>
      <w:r w:rsidR="006C0969">
        <w:rPr>
          <w:color w:val="000000"/>
          <w:szCs w:val="28"/>
        </w:rPr>
        <w:br/>
      </w:r>
      <w:r w:rsidR="00255EFF">
        <w:rPr>
          <w:color w:val="000000"/>
          <w:szCs w:val="28"/>
        </w:rPr>
        <w:t>916</w:t>
      </w:r>
      <w:r w:rsidR="006C0969">
        <w:rPr>
          <w:color w:val="000000"/>
          <w:szCs w:val="28"/>
        </w:rPr>
        <w:t xml:space="preserve"> </w:t>
      </w:r>
      <w:r w:rsidR="00255EFF">
        <w:rPr>
          <w:color w:val="000000"/>
          <w:szCs w:val="28"/>
        </w:rPr>
        <w:t>746,1</w:t>
      </w:r>
      <w:r w:rsidRPr="00EB3226">
        <w:rPr>
          <w:color w:val="000000"/>
          <w:szCs w:val="28"/>
        </w:rPr>
        <w:t xml:space="preserve"> тыс. рублей.</w:t>
      </w:r>
    </w:p>
    <w:p w:rsidR="005C45BC" w:rsidRPr="00EB3226" w:rsidRDefault="005C45BC" w:rsidP="00EB3226">
      <w:pPr>
        <w:ind w:firstLine="567"/>
        <w:jc w:val="both"/>
        <w:rPr>
          <w:i/>
          <w:color w:val="FF0000"/>
          <w:szCs w:val="28"/>
        </w:rPr>
      </w:pPr>
    </w:p>
    <w:p w:rsidR="00AA0982" w:rsidRPr="00977B12" w:rsidRDefault="00AA0982" w:rsidP="00AA0982">
      <w:pPr>
        <w:ind w:firstLine="709"/>
        <w:jc w:val="center"/>
        <w:rPr>
          <w:b/>
          <w:szCs w:val="28"/>
        </w:rPr>
      </w:pPr>
      <w:r w:rsidRPr="00977B12">
        <w:rPr>
          <w:b/>
          <w:szCs w:val="28"/>
        </w:rPr>
        <w:t>3.1. ДОХОДЫ</w:t>
      </w:r>
    </w:p>
    <w:p w:rsidR="0022703B" w:rsidRPr="00BF7CB8" w:rsidRDefault="0022703B" w:rsidP="0022703B">
      <w:pPr>
        <w:ind w:firstLine="720"/>
        <w:jc w:val="both"/>
        <w:rPr>
          <w:szCs w:val="28"/>
        </w:rPr>
      </w:pPr>
    </w:p>
    <w:p w:rsidR="00EE15FE" w:rsidRPr="00BF7CB8" w:rsidRDefault="00EE15FE" w:rsidP="00EE15FE">
      <w:pPr>
        <w:ind w:firstLine="720"/>
        <w:jc w:val="both"/>
        <w:rPr>
          <w:spacing w:val="4"/>
          <w:szCs w:val="28"/>
        </w:rPr>
      </w:pPr>
      <w:r w:rsidRPr="00BF7CB8">
        <w:rPr>
          <w:spacing w:val="4"/>
          <w:szCs w:val="28"/>
        </w:rPr>
        <w:t>Поступление в республиканский бюджет Республики Алтай налоговых и неналоговых доходов в 2022 году в сумме 8 798 701,1 тыс. рублей на 8,8% или на 708 831,3 тыс. рублей превышает поступления за аналогичный период прошлого года (8 089 869,9</w:t>
      </w:r>
      <w:r>
        <w:rPr>
          <w:spacing w:val="4"/>
          <w:szCs w:val="28"/>
        </w:rPr>
        <w:t>)</w:t>
      </w:r>
      <w:r w:rsidRPr="00BF7CB8">
        <w:rPr>
          <w:spacing w:val="4"/>
          <w:szCs w:val="28"/>
        </w:rPr>
        <w:t xml:space="preserve"> тыс. рублей.</w:t>
      </w:r>
    </w:p>
    <w:p w:rsidR="00EE15FE" w:rsidRPr="00BF7CB8" w:rsidRDefault="00EE15FE" w:rsidP="00EE15FE">
      <w:pPr>
        <w:ind w:firstLine="720"/>
        <w:jc w:val="both"/>
        <w:rPr>
          <w:spacing w:val="4"/>
          <w:szCs w:val="28"/>
        </w:rPr>
      </w:pPr>
      <w:r w:rsidRPr="00BF7CB8">
        <w:rPr>
          <w:spacing w:val="4"/>
          <w:szCs w:val="28"/>
        </w:rPr>
        <w:t>Плановые назначения по налоговым и неналоговым доходам республиканского бюджета Республики Алтай на 2022 год в размере 9 077 </w:t>
      </w:r>
      <w:r>
        <w:rPr>
          <w:spacing w:val="4"/>
          <w:szCs w:val="28"/>
        </w:rPr>
        <w:t>636</w:t>
      </w:r>
      <w:r w:rsidRPr="00BF7CB8">
        <w:rPr>
          <w:spacing w:val="4"/>
          <w:szCs w:val="28"/>
        </w:rPr>
        <w:t>,5 тыс. рублей исполнены на 96,9 %.</w:t>
      </w:r>
    </w:p>
    <w:p w:rsidR="00EE15FE" w:rsidRPr="00BF7CB8" w:rsidRDefault="00EE15FE" w:rsidP="00EE15FE">
      <w:pPr>
        <w:ind w:firstLine="720"/>
        <w:jc w:val="both"/>
        <w:rPr>
          <w:spacing w:val="4"/>
          <w:szCs w:val="28"/>
        </w:rPr>
      </w:pPr>
    </w:p>
    <w:p w:rsidR="00EE15FE" w:rsidRPr="00541171" w:rsidRDefault="00EE15FE" w:rsidP="00EE15FE">
      <w:pPr>
        <w:jc w:val="center"/>
        <w:rPr>
          <w:i/>
          <w:szCs w:val="28"/>
        </w:rPr>
      </w:pPr>
      <w:r w:rsidRPr="00541171">
        <w:rPr>
          <w:i/>
          <w:szCs w:val="28"/>
        </w:rPr>
        <w:t>Налоговые доходы</w:t>
      </w:r>
    </w:p>
    <w:p w:rsidR="00EE15FE" w:rsidRPr="00541171" w:rsidRDefault="00EE15FE" w:rsidP="00EE15FE">
      <w:pPr>
        <w:ind w:firstLine="709"/>
        <w:jc w:val="both"/>
        <w:rPr>
          <w:szCs w:val="28"/>
        </w:rPr>
      </w:pPr>
      <w:r w:rsidRPr="00541171">
        <w:rPr>
          <w:szCs w:val="28"/>
        </w:rPr>
        <w:t xml:space="preserve">В целом план по налоговым доходам утвержденный в сумме 8 165 564,9 тыс. рублей, выполнен на 97,6 %. </w:t>
      </w:r>
    </w:p>
    <w:p w:rsidR="00EE15FE" w:rsidRPr="00541171" w:rsidRDefault="00EE15FE" w:rsidP="00EE15FE">
      <w:pPr>
        <w:ind w:firstLine="709"/>
        <w:jc w:val="both"/>
        <w:rPr>
          <w:szCs w:val="28"/>
        </w:rPr>
      </w:pPr>
      <w:r w:rsidRPr="00541171">
        <w:rPr>
          <w:szCs w:val="28"/>
        </w:rPr>
        <w:t>Фактическое поступление в 2022 году в республиканский бюджет Республики Алтай налоговых доходов составило 7 966 033,3 тыс. рублей. По отношению к 2021 году (7 557 908,4 тыс. рублей) отмечен рост поступлений налоговых доходов на 5,4 % или на 408 124,9 тыс. рублей.</w:t>
      </w:r>
    </w:p>
    <w:p w:rsidR="00EE15FE" w:rsidRPr="00FA728C" w:rsidRDefault="00EE15FE" w:rsidP="00EE15FE">
      <w:pPr>
        <w:ind w:firstLine="709"/>
        <w:jc w:val="center"/>
        <w:rPr>
          <w:i/>
          <w:szCs w:val="28"/>
        </w:rPr>
      </w:pPr>
      <w:r w:rsidRPr="00FA728C">
        <w:rPr>
          <w:i/>
          <w:szCs w:val="28"/>
        </w:rPr>
        <w:t>Налог на прибыль организаций</w:t>
      </w:r>
    </w:p>
    <w:p w:rsidR="00EE15FE" w:rsidRPr="00FA728C" w:rsidRDefault="00EE15FE" w:rsidP="00EE15FE">
      <w:pPr>
        <w:ind w:firstLine="709"/>
        <w:jc w:val="both"/>
        <w:rPr>
          <w:szCs w:val="28"/>
        </w:rPr>
      </w:pPr>
      <w:r w:rsidRPr="00FA728C">
        <w:rPr>
          <w:szCs w:val="28"/>
        </w:rPr>
        <w:t xml:space="preserve">Поступление в 2022 году налога на прибыль организаций составило 1 405 458,4 тыс. рублей, годовой план в сумме 1 439 200 тыс. рублей исполнен на 97,7 %. </w:t>
      </w:r>
    </w:p>
    <w:p w:rsidR="00EE15FE" w:rsidRPr="00FA728C" w:rsidRDefault="00EE15FE" w:rsidP="00EE15FE">
      <w:pPr>
        <w:ind w:firstLine="709"/>
        <w:jc w:val="both"/>
        <w:rPr>
          <w:szCs w:val="28"/>
        </w:rPr>
      </w:pPr>
      <w:r w:rsidRPr="00FA728C">
        <w:rPr>
          <w:szCs w:val="28"/>
        </w:rPr>
        <w:t>Невыполнение плановых показателей объясняется ростом на 48,2% в 2022 году по сравнению с 2021 годом возврата на расчетные счета налогоплательщиков переплаты по налогу на прибыль</w:t>
      </w:r>
      <w:r>
        <w:rPr>
          <w:szCs w:val="28"/>
        </w:rPr>
        <w:t xml:space="preserve"> (в том числе в связи с введением с 1 января 2023 годы единого налогового счета и единого налогового </w:t>
      </w:r>
      <w:r>
        <w:rPr>
          <w:szCs w:val="28"/>
        </w:rPr>
        <w:lastRenderedPageBreak/>
        <w:t>платежа)</w:t>
      </w:r>
      <w:r w:rsidRPr="00FA728C">
        <w:rPr>
          <w:szCs w:val="28"/>
        </w:rPr>
        <w:t>, а также предоставлением налоговых деклараций (уточненных) по налогу на прибыль организаций с суммой налога к уменьшению начислений по итогам 9 месяцев 2022 года налогоплательщиками, от которых доля поступлений по налогу на прибыль организаций в 2022 году в общей сумме поступлений составляет более 37 %.</w:t>
      </w:r>
    </w:p>
    <w:p w:rsidR="00EE15FE" w:rsidRDefault="00EE15FE" w:rsidP="00EE15FE">
      <w:pPr>
        <w:ind w:firstLine="708"/>
        <w:jc w:val="both"/>
        <w:rPr>
          <w:color w:val="000000"/>
          <w:szCs w:val="28"/>
        </w:rPr>
      </w:pPr>
      <w:r w:rsidRPr="00FA728C">
        <w:rPr>
          <w:szCs w:val="28"/>
        </w:rPr>
        <w:t xml:space="preserve">По отношению к прошлому году поступления налога на прибыль организаций увеличились на </w:t>
      </w:r>
      <w:r w:rsidRPr="00FA728C">
        <w:rPr>
          <w:color w:val="000000"/>
          <w:szCs w:val="28"/>
        </w:rPr>
        <w:t>276</w:t>
      </w:r>
      <w:r w:rsidRPr="00FA728C">
        <w:rPr>
          <w:szCs w:val="28"/>
        </w:rPr>
        <w:t xml:space="preserve"> 792,2 тыс. руб</w:t>
      </w:r>
      <w:r>
        <w:rPr>
          <w:szCs w:val="28"/>
        </w:rPr>
        <w:t>лей</w:t>
      </w:r>
      <w:r w:rsidRPr="00FA728C">
        <w:rPr>
          <w:szCs w:val="28"/>
        </w:rPr>
        <w:t xml:space="preserve"> или на 24,5 %, что о</w:t>
      </w:r>
      <w:r w:rsidRPr="00FA728C">
        <w:rPr>
          <w:rFonts w:eastAsia="Calibri"/>
          <w:color w:val="000000"/>
          <w:szCs w:val="28"/>
          <w:lang w:eastAsia="en-US"/>
        </w:rPr>
        <w:t xml:space="preserve">бусловлено </w:t>
      </w:r>
      <w:r w:rsidRPr="00FA728C">
        <w:rPr>
          <w:color w:val="000000"/>
          <w:szCs w:val="28"/>
        </w:rPr>
        <w:t>увеличением налоговой базы за 9 месяцев 2022 года по основным налогоплательщикам.</w:t>
      </w:r>
    </w:p>
    <w:p w:rsidR="00EE15FE" w:rsidRPr="008D07D6" w:rsidRDefault="00EE15FE" w:rsidP="00EE15FE">
      <w:pPr>
        <w:autoSpaceDE w:val="0"/>
        <w:autoSpaceDN w:val="0"/>
        <w:adjustRightInd w:val="0"/>
        <w:ind w:firstLine="709"/>
        <w:jc w:val="both"/>
        <w:rPr>
          <w:szCs w:val="28"/>
        </w:rPr>
      </w:pPr>
      <w:r w:rsidRPr="00E201C9">
        <w:rPr>
          <w:szCs w:val="28"/>
        </w:rPr>
        <w:t xml:space="preserve">В 2022 году основное поступление налога обеспечено налогоплательщиками, осуществляющими следующие виды деятельности: «Вложения в ценные бумаги», </w:t>
      </w:r>
      <w:r>
        <w:rPr>
          <w:szCs w:val="28"/>
        </w:rPr>
        <w:t>«Производство нефтепродуктов», «</w:t>
      </w:r>
      <w:r w:rsidRPr="00DC152F">
        <w:rPr>
          <w:szCs w:val="28"/>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r>
        <w:rPr>
          <w:szCs w:val="28"/>
        </w:rPr>
        <w:t>»,</w:t>
      </w:r>
      <w:r w:rsidRPr="00E201C9">
        <w:rPr>
          <w:szCs w:val="28"/>
        </w:rPr>
        <w:t xml:space="preserve"> «Денежное посредничество прочее», </w:t>
      </w:r>
      <w:r>
        <w:rPr>
          <w:szCs w:val="28"/>
        </w:rPr>
        <w:t>«Торговля оптовая сахаром»,</w:t>
      </w:r>
      <w:r w:rsidRPr="008D07D6">
        <w:rPr>
          <w:szCs w:val="28"/>
        </w:rPr>
        <w:t xml:space="preserve"> «Деятельность аэропортовая».</w:t>
      </w:r>
      <w:r w:rsidRPr="00DC152F">
        <w:t xml:space="preserve"> </w:t>
      </w:r>
    </w:p>
    <w:p w:rsidR="00EE15FE" w:rsidRPr="00E46248" w:rsidRDefault="00EE15FE" w:rsidP="00EE15FE">
      <w:pPr>
        <w:ind w:firstLine="709"/>
        <w:jc w:val="center"/>
        <w:rPr>
          <w:i/>
          <w:szCs w:val="28"/>
        </w:rPr>
      </w:pPr>
      <w:r w:rsidRPr="00E46248">
        <w:rPr>
          <w:i/>
          <w:szCs w:val="28"/>
        </w:rPr>
        <w:t>Налог на доходы физических лиц</w:t>
      </w:r>
    </w:p>
    <w:p w:rsidR="00EE15FE" w:rsidRPr="00BF16B5" w:rsidRDefault="00EE15FE" w:rsidP="00EE15FE">
      <w:pPr>
        <w:ind w:firstLine="709"/>
        <w:jc w:val="both"/>
        <w:rPr>
          <w:szCs w:val="28"/>
        </w:rPr>
      </w:pPr>
      <w:r w:rsidRPr="00BF16B5">
        <w:rPr>
          <w:szCs w:val="28"/>
        </w:rPr>
        <w:t>Поступление налога на доходы физических лиц в 2022 году составило 2 471 410,6 тыс. рублей, плановые назначения в сумме 2 516 204,5 тыс. рублей исполнены на 98,2 %, с динамикой к 2021 году на 5 % или на 118 684,8 тыс. рублей.</w:t>
      </w:r>
    </w:p>
    <w:p w:rsidR="00EE15FE" w:rsidRPr="00AC16E0" w:rsidRDefault="00EE15FE" w:rsidP="00EE15FE">
      <w:pPr>
        <w:ind w:firstLine="709"/>
        <w:jc w:val="both"/>
        <w:rPr>
          <w:szCs w:val="28"/>
        </w:rPr>
      </w:pPr>
      <w:r w:rsidRPr="00AC16E0">
        <w:rPr>
          <w:szCs w:val="28"/>
        </w:rPr>
        <w:t>Рост поступлений налога на доходы физических лиц обусловлен увеличением сумм налога на доходы физических лиц, уплаченных с доходов, источником которых является налоговый агент, и обусловлен постановкой на налоговый учет новых налогоплательщиков, а также повышением в 2022 году минимального размера оплаты труда</w:t>
      </w:r>
      <w:r>
        <w:rPr>
          <w:szCs w:val="28"/>
        </w:rPr>
        <w:t xml:space="preserve"> в Российской Федерации</w:t>
      </w:r>
      <w:r w:rsidRPr="00AC16E0">
        <w:rPr>
          <w:szCs w:val="28"/>
        </w:rPr>
        <w:t>.</w:t>
      </w:r>
    </w:p>
    <w:p w:rsidR="00EE15FE" w:rsidRPr="00126E47" w:rsidRDefault="00EE15FE" w:rsidP="00EE15FE">
      <w:pPr>
        <w:ind w:firstLine="709"/>
        <w:jc w:val="both"/>
        <w:rPr>
          <w:i/>
          <w:szCs w:val="28"/>
        </w:rPr>
      </w:pPr>
      <w:r w:rsidRPr="00126E47">
        <w:rPr>
          <w:i/>
          <w:szCs w:val="28"/>
        </w:rPr>
        <w:t>Акцизы по подакцизным товарам (продукции), производимым на территории Российской Федерации</w:t>
      </w:r>
    </w:p>
    <w:p w:rsidR="00EE15FE" w:rsidRPr="00126E47" w:rsidRDefault="00EE15FE" w:rsidP="00EE15FE">
      <w:pPr>
        <w:ind w:firstLine="709"/>
        <w:jc w:val="both"/>
        <w:rPr>
          <w:szCs w:val="28"/>
        </w:rPr>
      </w:pPr>
      <w:r w:rsidRPr="00126E47">
        <w:rPr>
          <w:szCs w:val="28"/>
        </w:rPr>
        <w:t>В целом по подгруппе доходов «Акцизы по подакцизным товарам (продукции), производимым на территории Российской Федерации» годовой план в сумме 3 694 710,0 тыс. рублей выполнен на 96,5 %, фактическое поступление за 2022 год составило 3 564 845,6 тыс. рублей, что на 10 286,6 тыс. рублей больше поступлений 2021 года (3 554 559,0 тыс. рублей).</w:t>
      </w:r>
    </w:p>
    <w:p w:rsidR="00EE15FE" w:rsidRPr="000A4832" w:rsidRDefault="00EE15FE" w:rsidP="00EE15FE">
      <w:pPr>
        <w:ind w:firstLine="709"/>
        <w:jc w:val="both"/>
        <w:rPr>
          <w:szCs w:val="28"/>
        </w:rPr>
      </w:pPr>
      <w:r w:rsidRPr="000A4832">
        <w:rPr>
          <w:szCs w:val="28"/>
        </w:rPr>
        <w:t xml:space="preserve">Из общего объема поступлений 95,3 % или 3 395 656,2 тыс. рублей приходится на доходы от уплаты акцизов на нефтепродукты, к 2021 году отмечено снижение на 1,0 % или на 34 706,9 тыс. рублей, годовой план выполнен на 96,8 %, что в основном обусловлено снижением поступлений акцизов на автомобильный бензин в связи с сложившимися объемами реализации автомобильного бензина в целом по Российской Федерации в </w:t>
      </w:r>
      <w:r>
        <w:rPr>
          <w:szCs w:val="28"/>
        </w:rPr>
        <w:t xml:space="preserve">4 квартале </w:t>
      </w:r>
      <w:r w:rsidRPr="000A4832">
        <w:rPr>
          <w:szCs w:val="28"/>
        </w:rPr>
        <w:t>2022 год</w:t>
      </w:r>
      <w:r>
        <w:rPr>
          <w:szCs w:val="28"/>
        </w:rPr>
        <w:t>а</w:t>
      </w:r>
      <w:r w:rsidRPr="000A4832">
        <w:rPr>
          <w:szCs w:val="28"/>
        </w:rPr>
        <w:t>.</w:t>
      </w:r>
    </w:p>
    <w:p w:rsidR="00EE15FE" w:rsidRPr="000A4832" w:rsidRDefault="00EE15FE" w:rsidP="00EE15FE">
      <w:pPr>
        <w:pStyle w:val="ac"/>
        <w:ind w:firstLine="709"/>
        <w:rPr>
          <w:sz w:val="28"/>
          <w:szCs w:val="28"/>
        </w:rPr>
      </w:pPr>
      <w:r w:rsidRPr="000A4832">
        <w:rPr>
          <w:sz w:val="28"/>
          <w:szCs w:val="28"/>
        </w:rPr>
        <w:t>Кроме акцизов на нефтепродукты в республиканский бюджет Республики Алтай в 2022 году зачислены акцизы:</w:t>
      </w:r>
    </w:p>
    <w:p w:rsidR="00EE15FE" w:rsidRPr="000A4832" w:rsidRDefault="00EE15FE" w:rsidP="00EE15FE">
      <w:pPr>
        <w:pStyle w:val="ac"/>
        <w:ind w:firstLine="709"/>
        <w:rPr>
          <w:sz w:val="28"/>
          <w:szCs w:val="28"/>
        </w:rPr>
      </w:pPr>
      <w:r w:rsidRPr="000A4832">
        <w:rPr>
          <w:sz w:val="28"/>
          <w:szCs w:val="28"/>
        </w:rPr>
        <w:lastRenderedPageBreak/>
        <w:t>на пиво – в сумме 1 133,4 тыс. рублей, что на 280,4 тыс. рублей или на 32,9 % больше поступлений 2021 года (853,0 тыс. рублей);</w:t>
      </w:r>
    </w:p>
    <w:p w:rsidR="00EE15FE" w:rsidRPr="000A4832" w:rsidRDefault="00EE15FE" w:rsidP="00EE15FE">
      <w:pPr>
        <w:pStyle w:val="ac"/>
        <w:ind w:firstLine="709"/>
        <w:rPr>
          <w:sz w:val="28"/>
          <w:szCs w:val="28"/>
        </w:rPr>
      </w:pPr>
      <w:r w:rsidRPr="000A4832">
        <w:rPr>
          <w:sz w:val="28"/>
          <w:szCs w:val="28"/>
        </w:rPr>
        <w:t>на алкогольную продукцию с объемной долей этилового спирта свыше 9 % – в сумме 167 445,1 тыс. рублей, что на 36,5 % или на 44 778,3 тыс. рублей больше поступлений 2021 года (122 666,8 тыс. рублей);</w:t>
      </w:r>
    </w:p>
    <w:p w:rsidR="00EE15FE" w:rsidRPr="000B5B72" w:rsidRDefault="00EE15FE" w:rsidP="00EE15FE">
      <w:pPr>
        <w:pStyle w:val="ac"/>
        <w:ind w:firstLine="709"/>
        <w:rPr>
          <w:sz w:val="28"/>
          <w:szCs w:val="28"/>
        </w:rPr>
      </w:pPr>
      <w:r w:rsidRPr="000A4832">
        <w:rPr>
          <w:sz w:val="28"/>
          <w:szCs w:val="28"/>
        </w:rPr>
        <w:t>на этиловый спирт из пищевого и непищевого сырья, спиртосодержащую продукцию – в сумме 610,9 тыс. рублей, что на 38,5 тыс. рублей меньше поступлений 20</w:t>
      </w:r>
      <w:r w:rsidRPr="000A4832">
        <w:rPr>
          <w:sz w:val="28"/>
          <w:szCs w:val="28"/>
          <w:lang w:val="x-none"/>
        </w:rPr>
        <w:t>21</w:t>
      </w:r>
      <w:r w:rsidRPr="000A4832">
        <w:rPr>
          <w:sz w:val="28"/>
          <w:szCs w:val="28"/>
        </w:rPr>
        <w:t xml:space="preserve"> года</w:t>
      </w:r>
      <w:r w:rsidRPr="000A4832">
        <w:rPr>
          <w:sz w:val="28"/>
          <w:szCs w:val="28"/>
          <w:lang w:val="x-none"/>
        </w:rPr>
        <w:t xml:space="preserve"> (</w:t>
      </w:r>
      <w:r w:rsidRPr="000A4832">
        <w:rPr>
          <w:sz w:val="28"/>
          <w:szCs w:val="28"/>
        </w:rPr>
        <w:t xml:space="preserve">649,4 </w:t>
      </w:r>
      <w:r w:rsidRPr="000A4832">
        <w:rPr>
          <w:sz w:val="28"/>
          <w:szCs w:val="28"/>
          <w:lang w:val="x-none"/>
        </w:rPr>
        <w:t>тыс. рублей)</w:t>
      </w:r>
      <w:r w:rsidRPr="000A4832">
        <w:rPr>
          <w:sz w:val="28"/>
          <w:szCs w:val="28"/>
        </w:rPr>
        <w:t>.</w:t>
      </w:r>
    </w:p>
    <w:p w:rsidR="00EE15FE" w:rsidRPr="00B846F2" w:rsidRDefault="00EE15FE" w:rsidP="00EE15FE">
      <w:pPr>
        <w:autoSpaceDE w:val="0"/>
        <w:autoSpaceDN w:val="0"/>
        <w:adjustRightInd w:val="0"/>
        <w:ind w:firstLine="709"/>
        <w:jc w:val="center"/>
        <w:rPr>
          <w:i/>
          <w:szCs w:val="28"/>
        </w:rPr>
      </w:pPr>
      <w:r w:rsidRPr="00B846F2">
        <w:rPr>
          <w:i/>
          <w:szCs w:val="28"/>
        </w:rPr>
        <w:t>Налоги на совокупный доход</w:t>
      </w:r>
    </w:p>
    <w:p w:rsidR="00EE15FE" w:rsidRPr="00B846F2" w:rsidRDefault="00EE15FE" w:rsidP="00EE15FE">
      <w:pPr>
        <w:ind w:firstLine="709"/>
        <w:jc w:val="both"/>
        <w:rPr>
          <w:szCs w:val="28"/>
        </w:rPr>
      </w:pPr>
      <w:r w:rsidRPr="00B846F2">
        <w:rPr>
          <w:szCs w:val="28"/>
        </w:rPr>
        <w:t>По подгруппе доходов «Налоги на совокупный доход» зачисляется налог на профессиональный доход. Поступление налога на профессиональный доход в 2022 году составило 18 545,4 тыс. рублей, плановые назначения в сумме 18 700,0 тыс. рублей исполнены на 99,2 %, с ростом к 2021 году в 2,4 раза (7 85</w:t>
      </w:r>
      <w:r>
        <w:rPr>
          <w:szCs w:val="28"/>
        </w:rPr>
        <w:t xml:space="preserve">5,8 тыс. рублей) или на </w:t>
      </w:r>
      <w:r w:rsidRPr="00EE15FE">
        <w:rPr>
          <w:szCs w:val="28"/>
        </w:rPr>
        <w:t>10 689,6 тыс</w:t>
      </w:r>
      <w:r w:rsidRPr="00B846F2">
        <w:rPr>
          <w:szCs w:val="28"/>
        </w:rPr>
        <w:t xml:space="preserve">. рублей за счет увеличения количества зарегистрированных </w:t>
      </w:r>
      <w:proofErr w:type="spellStart"/>
      <w:r w:rsidRPr="00B846F2">
        <w:rPr>
          <w:szCs w:val="28"/>
        </w:rPr>
        <w:t>самозанятых</w:t>
      </w:r>
      <w:proofErr w:type="spellEnd"/>
      <w:r w:rsidRPr="00B846F2">
        <w:rPr>
          <w:szCs w:val="28"/>
        </w:rPr>
        <w:t xml:space="preserve"> граждан и роста налоговой базы.</w:t>
      </w:r>
    </w:p>
    <w:p w:rsidR="00EE15FE" w:rsidRPr="005E22AC" w:rsidRDefault="00EE15FE" w:rsidP="00EE15FE">
      <w:pPr>
        <w:ind w:firstLine="709"/>
        <w:jc w:val="center"/>
        <w:rPr>
          <w:i/>
          <w:szCs w:val="28"/>
        </w:rPr>
      </w:pPr>
      <w:r w:rsidRPr="005E22AC">
        <w:rPr>
          <w:i/>
          <w:szCs w:val="28"/>
        </w:rPr>
        <w:t>Налоги на имущество</w:t>
      </w:r>
    </w:p>
    <w:p w:rsidR="00EE15FE" w:rsidRPr="005E22AC" w:rsidRDefault="00EE15FE" w:rsidP="00EE15FE">
      <w:pPr>
        <w:ind w:firstLine="709"/>
        <w:jc w:val="both"/>
        <w:rPr>
          <w:szCs w:val="28"/>
        </w:rPr>
      </w:pPr>
      <w:r w:rsidRPr="005E22AC">
        <w:rPr>
          <w:szCs w:val="28"/>
        </w:rPr>
        <w:t>В целом по данной подгруппе доходов годовые плановые назначения в размере 469 972 тыс. рублей выполнены на 101,5 %. Фактическое поступление 2022 года в сумме 477 134,0 тыс. рублей на 2,4 % или на 11 883,6 тыс. рублей меньше поступлений 2021 года (489 017,6 тыс. рублей).</w:t>
      </w:r>
    </w:p>
    <w:p w:rsidR="00EE15FE" w:rsidRPr="005E22AC" w:rsidRDefault="00EE15FE" w:rsidP="00EE15FE">
      <w:pPr>
        <w:ind w:firstLine="709"/>
        <w:jc w:val="both"/>
        <w:rPr>
          <w:szCs w:val="28"/>
        </w:rPr>
      </w:pPr>
      <w:r w:rsidRPr="005E22AC">
        <w:rPr>
          <w:szCs w:val="28"/>
        </w:rPr>
        <w:t>В разрезе доходных источников по подгруппе «Налоги на имущество»:</w:t>
      </w:r>
    </w:p>
    <w:p w:rsidR="00EE15FE" w:rsidRPr="001811CB" w:rsidRDefault="00EE15FE" w:rsidP="00EE15FE">
      <w:pPr>
        <w:ind w:firstLine="709"/>
        <w:jc w:val="both"/>
        <w:rPr>
          <w:szCs w:val="28"/>
        </w:rPr>
      </w:pPr>
      <w:r w:rsidRPr="001811CB">
        <w:rPr>
          <w:szCs w:val="28"/>
        </w:rPr>
        <w:t>по налогу на имущество организаций план выполнен на 102,3 %, к 2021 году отмечено снижение поступлений на 7,8 % или на 23 866,9 тыс. рублей в результате возврата на расчетный счет налогоплательщиков сумм ранее излишне уплаченного налога на имущество организаций, а также погашением крупной суммы задолженности по налогу одним налогоплательщиком в 2021 году;</w:t>
      </w:r>
    </w:p>
    <w:p w:rsidR="00EE15FE" w:rsidRPr="001811CB" w:rsidRDefault="00EE15FE" w:rsidP="00EE15FE">
      <w:pPr>
        <w:ind w:firstLine="709"/>
        <w:jc w:val="both"/>
        <w:rPr>
          <w:szCs w:val="28"/>
        </w:rPr>
      </w:pPr>
      <w:r w:rsidRPr="001811CB">
        <w:rPr>
          <w:szCs w:val="28"/>
        </w:rPr>
        <w:t xml:space="preserve">по транспортному налогу выполнение плана составило 100,4 %, фактическое поступление налога за 2022 год в размере 195 331,9 тыс. рублей на 6,5 % или на 11 983,3 тыс. рублей больше поступлений 2021 года, что связано </w:t>
      </w:r>
      <w:r w:rsidRPr="001811CB">
        <w:rPr>
          <w:bCs/>
          <w:snapToGrid w:val="0"/>
          <w:color w:val="000000"/>
          <w:sz w:val="26"/>
          <w:szCs w:val="26"/>
        </w:rPr>
        <w:t xml:space="preserve">с </w:t>
      </w:r>
      <w:r w:rsidRPr="001811CB">
        <w:rPr>
          <w:szCs w:val="28"/>
        </w:rPr>
        <w:t>уплатой физическими лицами суммы налога за 2021 год в связи с увеличением начисленной суммы транспортного налога.</w:t>
      </w:r>
    </w:p>
    <w:p w:rsidR="00EE15FE" w:rsidRPr="00823352" w:rsidRDefault="00EE15FE" w:rsidP="00EE15FE">
      <w:pPr>
        <w:jc w:val="center"/>
        <w:rPr>
          <w:i/>
          <w:szCs w:val="28"/>
        </w:rPr>
      </w:pPr>
      <w:r w:rsidRPr="00823352">
        <w:rPr>
          <w:i/>
          <w:szCs w:val="28"/>
        </w:rPr>
        <w:t>Государственная пошлина</w:t>
      </w:r>
    </w:p>
    <w:p w:rsidR="00EE15FE" w:rsidRPr="00265E5C" w:rsidRDefault="00EE15FE" w:rsidP="00353B20">
      <w:pPr>
        <w:pStyle w:val="ac"/>
        <w:spacing w:line="276" w:lineRule="auto"/>
        <w:ind w:firstLine="709"/>
        <w:jc w:val="both"/>
        <w:rPr>
          <w:sz w:val="28"/>
          <w:szCs w:val="28"/>
        </w:rPr>
      </w:pPr>
      <w:r w:rsidRPr="00265E5C">
        <w:rPr>
          <w:sz w:val="28"/>
          <w:szCs w:val="28"/>
        </w:rPr>
        <w:t xml:space="preserve">Годовой план в сумме </w:t>
      </w:r>
      <w:r>
        <w:rPr>
          <w:sz w:val="28"/>
          <w:szCs w:val="28"/>
        </w:rPr>
        <w:t xml:space="preserve">26 744,4 </w:t>
      </w:r>
      <w:r w:rsidRPr="00265E5C">
        <w:rPr>
          <w:sz w:val="28"/>
          <w:szCs w:val="28"/>
        </w:rPr>
        <w:t>тыс. рублей выполнен на 10</w:t>
      </w:r>
      <w:r>
        <w:rPr>
          <w:sz w:val="28"/>
          <w:szCs w:val="28"/>
        </w:rPr>
        <w:t>7</w:t>
      </w:r>
      <w:r w:rsidRPr="00265E5C">
        <w:rPr>
          <w:sz w:val="28"/>
          <w:szCs w:val="28"/>
        </w:rPr>
        <w:t xml:space="preserve"> %. Фактическое поступление государственной пошлины в республиканский бюджет Республики Алтай в 202</w:t>
      </w:r>
      <w:r>
        <w:rPr>
          <w:sz w:val="28"/>
          <w:szCs w:val="28"/>
        </w:rPr>
        <w:t>2</w:t>
      </w:r>
      <w:r w:rsidRPr="00265E5C">
        <w:rPr>
          <w:sz w:val="28"/>
          <w:szCs w:val="28"/>
        </w:rPr>
        <w:t xml:space="preserve"> году составило </w:t>
      </w:r>
      <w:r>
        <w:rPr>
          <w:sz w:val="28"/>
          <w:szCs w:val="28"/>
        </w:rPr>
        <w:t>28 605,8</w:t>
      </w:r>
      <w:r w:rsidRPr="00265E5C">
        <w:rPr>
          <w:sz w:val="28"/>
          <w:szCs w:val="28"/>
        </w:rPr>
        <w:t xml:space="preserve"> тыс. рублей, что на</w:t>
      </w:r>
      <w:r>
        <w:rPr>
          <w:sz w:val="28"/>
          <w:szCs w:val="28"/>
        </w:rPr>
        <w:br/>
        <w:t>14,1</w:t>
      </w:r>
      <w:r w:rsidRPr="00265E5C">
        <w:rPr>
          <w:sz w:val="28"/>
          <w:szCs w:val="28"/>
        </w:rPr>
        <w:t xml:space="preserve"> % или на </w:t>
      </w:r>
      <w:r>
        <w:rPr>
          <w:sz w:val="28"/>
          <w:szCs w:val="28"/>
        </w:rPr>
        <w:t xml:space="preserve">3 531,0 тыс. </w:t>
      </w:r>
      <w:r w:rsidRPr="00265E5C">
        <w:rPr>
          <w:sz w:val="28"/>
          <w:szCs w:val="28"/>
        </w:rPr>
        <w:t>рублей больше поступлений 202</w:t>
      </w:r>
      <w:r>
        <w:rPr>
          <w:sz w:val="28"/>
          <w:szCs w:val="28"/>
        </w:rPr>
        <w:t>1</w:t>
      </w:r>
      <w:r w:rsidRPr="00265E5C">
        <w:rPr>
          <w:sz w:val="28"/>
          <w:szCs w:val="28"/>
        </w:rPr>
        <w:t xml:space="preserve"> года (2</w:t>
      </w:r>
      <w:r>
        <w:rPr>
          <w:sz w:val="28"/>
          <w:szCs w:val="28"/>
        </w:rPr>
        <w:t>5 074,8</w:t>
      </w:r>
      <w:r w:rsidRPr="00265E5C">
        <w:rPr>
          <w:sz w:val="28"/>
          <w:szCs w:val="28"/>
        </w:rPr>
        <w:t xml:space="preserve"> тыс. рублей) и обусловлено ростом количества обращений физических и юридических лиц за совершением юридически значимых действий по следующим видам государственной пошлины:</w:t>
      </w:r>
    </w:p>
    <w:p w:rsidR="00EE15FE" w:rsidRDefault="00EE15FE" w:rsidP="00353B20">
      <w:pPr>
        <w:pStyle w:val="ac"/>
        <w:spacing w:line="276" w:lineRule="auto"/>
        <w:ind w:firstLine="709"/>
        <w:jc w:val="both"/>
        <w:rPr>
          <w:sz w:val="28"/>
          <w:szCs w:val="28"/>
        </w:rPr>
      </w:pPr>
      <w:r w:rsidRPr="00CE0859">
        <w:rPr>
          <w:sz w:val="28"/>
          <w:szCs w:val="28"/>
        </w:rPr>
        <w:t xml:space="preserve">за совершение действий, связанных с приобретением гражданства Российской Федерации или выходом из гражданства Российской Федерации, а </w:t>
      </w:r>
      <w:r w:rsidRPr="00CE0859">
        <w:rPr>
          <w:sz w:val="28"/>
          <w:szCs w:val="28"/>
        </w:rPr>
        <w:lastRenderedPageBreak/>
        <w:t>также с въездом в Российскую Федерацию или выездом из Российской Федерации</w:t>
      </w:r>
      <w:r>
        <w:rPr>
          <w:sz w:val="28"/>
          <w:szCs w:val="28"/>
        </w:rPr>
        <w:t xml:space="preserve"> </w:t>
      </w:r>
      <w:r w:rsidRPr="00C6454B">
        <w:rPr>
          <w:sz w:val="28"/>
          <w:szCs w:val="28"/>
        </w:rPr>
        <w:t>(государственная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r>
        <w:rPr>
          <w:sz w:val="28"/>
          <w:szCs w:val="28"/>
        </w:rPr>
        <w:t>;</w:t>
      </w:r>
    </w:p>
    <w:p w:rsidR="00EE15FE" w:rsidRPr="00265E5C" w:rsidRDefault="00EE15FE" w:rsidP="00353B20">
      <w:pPr>
        <w:pStyle w:val="ac"/>
        <w:spacing w:line="276" w:lineRule="auto"/>
        <w:ind w:firstLine="709"/>
        <w:jc w:val="both"/>
        <w:rPr>
          <w:sz w:val="28"/>
          <w:szCs w:val="28"/>
        </w:rPr>
      </w:pPr>
      <w:r w:rsidRPr="00265E5C">
        <w:rPr>
          <w:sz w:val="28"/>
          <w:szCs w:val="28"/>
        </w:rPr>
        <w:t>за государственную регистрацию прав, ограничений (обременений) прав на недвижимое имущество и сделок с ним</w:t>
      </w:r>
      <w:r>
        <w:rPr>
          <w:sz w:val="28"/>
          <w:szCs w:val="28"/>
        </w:rPr>
        <w:t>.</w:t>
      </w:r>
    </w:p>
    <w:p w:rsidR="00EE15FE" w:rsidRPr="00F86A51" w:rsidRDefault="00EE15FE" w:rsidP="00353B20">
      <w:pPr>
        <w:spacing w:line="276" w:lineRule="auto"/>
        <w:ind w:firstLine="709"/>
        <w:jc w:val="both"/>
        <w:rPr>
          <w:szCs w:val="28"/>
        </w:rPr>
      </w:pPr>
      <w:r w:rsidRPr="00F86A51">
        <w:rPr>
          <w:szCs w:val="28"/>
        </w:rPr>
        <w:t xml:space="preserve">По подгруппе доходов </w:t>
      </w:r>
      <w:r w:rsidRPr="00F86A51">
        <w:rPr>
          <w:i/>
          <w:szCs w:val="28"/>
        </w:rPr>
        <w:t>«Задолженность и перерасчеты по отмененным налогам, сборам и иным обязательным платежам»</w:t>
      </w:r>
      <w:r w:rsidRPr="00F86A51">
        <w:rPr>
          <w:szCs w:val="28"/>
        </w:rPr>
        <w:t xml:space="preserve"> за 202</w:t>
      </w:r>
      <w:r>
        <w:rPr>
          <w:szCs w:val="28"/>
        </w:rPr>
        <w:t>2</w:t>
      </w:r>
      <w:r w:rsidRPr="00F86A51">
        <w:rPr>
          <w:szCs w:val="28"/>
        </w:rPr>
        <w:t xml:space="preserve"> год поступило </w:t>
      </w:r>
      <w:r>
        <w:rPr>
          <w:szCs w:val="28"/>
        </w:rPr>
        <w:t>0,2</w:t>
      </w:r>
      <w:r w:rsidRPr="00F86A51">
        <w:rPr>
          <w:szCs w:val="28"/>
        </w:rPr>
        <w:t xml:space="preserve"> тыс. рублей (факт 202</w:t>
      </w:r>
      <w:r>
        <w:rPr>
          <w:szCs w:val="28"/>
        </w:rPr>
        <w:t>1</w:t>
      </w:r>
      <w:r w:rsidRPr="00F86A51">
        <w:rPr>
          <w:szCs w:val="28"/>
        </w:rPr>
        <w:t xml:space="preserve"> года </w:t>
      </w:r>
      <w:r>
        <w:rPr>
          <w:szCs w:val="28"/>
        </w:rPr>
        <w:t>9,4</w:t>
      </w:r>
      <w:r w:rsidRPr="00F86A51">
        <w:rPr>
          <w:szCs w:val="28"/>
        </w:rPr>
        <w:t xml:space="preserve"> тыс. рублей).</w:t>
      </w:r>
    </w:p>
    <w:p w:rsidR="00EE15FE" w:rsidRDefault="00EE15FE" w:rsidP="00EE15FE">
      <w:pPr>
        <w:jc w:val="center"/>
        <w:rPr>
          <w:i/>
          <w:szCs w:val="28"/>
          <w:highlight w:val="green"/>
        </w:rPr>
      </w:pPr>
    </w:p>
    <w:p w:rsidR="00EE15FE" w:rsidRPr="0067190A" w:rsidRDefault="00EE15FE" w:rsidP="00EE15FE">
      <w:pPr>
        <w:jc w:val="center"/>
        <w:rPr>
          <w:i/>
          <w:szCs w:val="28"/>
        </w:rPr>
      </w:pPr>
      <w:r w:rsidRPr="0067190A">
        <w:rPr>
          <w:i/>
          <w:szCs w:val="28"/>
        </w:rPr>
        <w:t>Неналоговые доходы</w:t>
      </w:r>
    </w:p>
    <w:p w:rsidR="00EE15FE" w:rsidRPr="00A35812" w:rsidRDefault="00EE15FE" w:rsidP="00EE15FE">
      <w:pPr>
        <w:jc w:val="center"/>
        <w:rPr>
          <w:i/>
          <w:szCs w:val="28"/>
          <w:highlight w:val="green"/>
        </w:rPr>
      </w:pPr>
    </w:p>
    <w:p w:rsidR="00EE15FE" w:rsidRPr="00F048E6" w:rsidRDefault="00EE15FE" w:rsidP="00EE15FE">
      <w:pPr>
        <w:ind w:firstLine="709"/>
        <w:jc w:val="both"/>
        <w:rPr>
          <w:szCs w:val="28"/>
        </w:rPr>
      </w:pPr>
      <w:r w:rsidRPr="00F048E6">
        <w:rPr>
          <w:szCs w:val="28"/>
        </w:rPr>
        <w:t xml:space="preserve">Утвержденный годовой план 2022 года по неналоговым доходам республиканского бюджета Республики Алтай в сумме 912 071,6 тыс. рублей исполнен на 91,3 %.  </w:t>
      </w:r>
    </w:p>
    <w:p w:rsidR="00EE15FE" w:rsidRPr="00F048E6" w:rsidRDefault="00EE15FE" w:rsidP="00EE15FE">
      <w:pPr>
        <w:ind w:firstLine="709"/>
        <w:jc w:val="both"/>
        <w:rPr>
          <w:szCs w:val="28"/>
        </w:rPr>
      </w:pPr>
      <w:r w:rsidRPr="00F048E6">
        <w:rPr>
          <w:szCs w:val="28"/>
        </w:rPr>
        <w:t xml:space="preserve">Фактическое поступление неналоговых доходов в республиканский бюджет Республики Алтай в 2022 году составило 832 667,8 тыс. рублей, что на 56,5 % или на 300 706,4 тыс. рублей превышает поступления 2021 года (531 961,4 тыс. рублей). </w:t>
      </w:r>
    </w:p>
    <w:p w:rsidR="00EE15FE" w:rsidRPr="00EF7515" w:rsidRDefault="00EE15FE" w:rsidP="00EE15FE">
      <w:pPr>
        <w:ind w:firstLine="709"/>
        <w:jc w:val="both"/>
        <w:rPr>
          <w:i/>
          <w:szCs w:val="28"/>
        </w:rPr>
      </w:pPr>
      <w:r w:rsidRPr="00EF7515">
        <w:rPr>
          <w:szCs w:val="28"/>
        </w:rPr>
        <w:t xml:space="preserve"> </w:t>
      </w:r>
      <w:r w:rsidRPr="00EF7515">
        <w:rPr>
          <w:i/>
          <w:szCs w:val="28"/>
        </w:rPr>
        <w:t>Доходы от использования имущества, находящегося в государственной и муниципальной собственности</w:t>
      </w:r>
    </w:p>
    <w:p w:rsidR="00EE15FE" w:rsidRPr="00EF7515" w:rsidRDefault="00EE15FE" w:rsidP="00EE15FE">
      <w:pPr>
        <w:ind w:firstLine="709"/>
        <w:jc w:val="both"/>
        <w:rPr>
          <w:szCs w:val="28"/>
        </w:rPr>
      </w:pPr>
      <w:r w:rsidRPr="00EF7515">
        <w:rPr>
          <w:szCs w:val="28"/>
        </w:rPr>
        <w:t xml:space="preserve">По данной подгруппе неналоговых доходов плановые назначения в сумме 420 066,4 тыс. рублей исполнены на 85 %. Фактическое поступление составило 357 178,1 тыс. рублей, что в 2,6 раза больше поступлений 2021 года (135 575,1 тыс. рублей). </w:t>
      </w:r>
    </w:p>
    <w:p w:rsidR="00EE15FE" w:rsidRPr="00574CE2" w:rsidRDefault="00EE15FE" w:rsidP="00EE15FE">
      <w:pPr>
        <w:ind w:firstLine="709"/>
        <w:jc w:val="both"/>
        <w:rPr>
          <w:color w:val="FF0000"/>
          <w:szCs w:val="28"/>
        </w:rPr>
      </w:pPr>
      <w:r w:rsidRPr="00011951">
        <w:rPr>
          <w:szCs w:val="28"/>
        </w:rPr>
        <w:t>Рост поступлений в сравнении с 2021 годом в основном связан с поступлениями доходов от операций по управлению остатками средств на едином казначейском счете, зачисляемы</w:t>
      </w:r>
      <w:r>
        <w:rPr>
          <w:szCs w:val="28"/>
        </w:rPr>
        <w:t>х</w:t>
      </w:r>
      <w:r w:rsidRPr="00011951">
        <w:rPr>
          <w:szCs w:val="28"/>
        </w:rPr>
        <w:t xml:space="preserve"> в бюджеты субъектов Российской Федерации, </w:t>
      </w:r>
      <w:r>
        <w:rPr>
          <w:szCs w:val="28"/>
        </w:rPr>
        <w:t xml:space="preserve">в связи </w:t>
      </w:r>
      <w:r w:rsidRPr="00011951">
        <w:rPr>
          <w:szCs w:val="28"/>
        </w:rPr>
        <w:t>с увеличением ключевой ставки Центрального банка Российской Федерации с 28 февраля 2022 года с 9,5 до 20 %.</w:t>
      </w:r>
      <w:r w:rsidRPr="00574CE2">
        <w:rPr>
          <w:color w:val="FF0000"/>
          <w:szCs w:val="28"/>
        </w:rPr>
        <w:t xml:space="preserve"> </w:t>
      </w:r>
      <w:r w:rsidRPr="00FA728C">
        <w:rPr>
          <w:szCs w:val="28"/>
        </w:rPr>
        <w:t xml:space="preserve">Невыполнение плановых показателей </w:t>
      </w:r>
      <w:r>
        <w:rPr>
          <w:szCs w:val="28"/>
        </w:rPr>
        <w:t xml:space="preserve">связано с меньшим чем планировалось поступлением </w:t>
      </w:r>
      <w:r w:rsidRPr="00011951">
        <w:rPr>
          <w:szCs w:val="28"/>
        </w:rPr>
        <w:t>доходов от операций по управлению остатками средств на едином казначейском счете, зачисляемы</w:t>
      </w:r>
      <w:r>
        <w:rPr>
          <w:szCs w:val="28"/>
        </w:rPr>
        <w:t>х</w:t>
      </w:r>
      <w:r w:rsidRPr="00011951">
        <w:rPr>
          <w:szCs w:val="28"/>
        </w:rPr>
        <w:t xml:space="preserve"> в бюджеты субъектов Российской Федерации</w:t>
      </w:r>
      <w:r>
        <w:rPr>
          <w:szCs w:val="28"/>
        </w:rPr>
        <w:t xml:space="preserve">, по итогам 4 квартала 2022 года. </w:t>
      </w:r>
    </w:p>
    <w:p w:rsidR="00EE15FE" w:rsidRPr="0065203F" w:rsidRDefault="00EE15FE" w:rsidP="00EE15FE">
      <w:pPr>
        <w:ind w:firstLine="709"/>
        <w:jc w:val="both"/>
        <w:rPr>
          <w:i/>
          <w:szCs w:val="28"/>
        </w:rPr>
      </w:pPr>
      <w:r w:rsidRPr="0065203F">
        <w:rPr>
          <w:i/>
          <w:szCs w:val="28"/>
        </w:rPr>
        <w:t>Платежи при пользовании природными ресурсами</w:t>
      </w:r>
    </w:p>
    <w:p w:rsidR="00EE15FE" w:rsidRPr="009C7130" w:rsidRDefault="00EE15FE" w:rsidP="00EE15FE">
      <w:pPr>
        <w:ind w:firstLine="709"/>
        <w:jc w:val="both"/>
        <w:rPr>
          <w:szCs w:val="28"/>
        </w:rPr>
      </w:pPr>
      <w:r w:rsidRPr="009C7130">
        <w:rPr>
          <w:szCs w:val="28"/>
        </w:rPr>
        <w:t>При плане в сумме 85 220,5 тыс. рублей в республиканский бюджет Республики Алтай по данной подгруппе доходов поступило 93 688,3 тыс. рублей, выполнение плана составило 109,9 %.  В сравнении с 2021 годом (74 094,3 тыс. рублей) поступление доходов выросло на 26,4 % или на 19 594,0 тыс. рублей.</w:t>
      </w:r>
    </w:p>
    <w:p w:rsidR="00EE15FE" w:rsidRPr="009C7130" w:rsidRDefault="00EE15FE" w:rsidP="00EE15FE">
      <w:pPr>
        <w:ind w:firstLine="709"/>
        <w:jc w:val="both"/>
        <w:rPr>
          <w:szCs w:val="28"/>
        </w:rPr>
      </w:pPr>
      <w:r w:rsidRPr="009C7130">
        <w:rPr>
          <w:szCs w:val="28"/>
        </w:rPr>
        <w:t>В разрезе доходов, входящих в указанную подгруппу:</w:t>
      </w:r>
    </w:p>
    <w:p w:rsidR="00EE15FE" w:rsidRPr="009C7130" w:rsidRDefault="00EE15FE" w:rsidP="00EE15FE">
      <w:pPr>
        <w:ind w:firstLine="709"/>
        <w:jc w:val="both"/>
        <w:rPr>
          <w:b/>
          <w:szCs w:val="28"/>
        </w:rPr>
      </w:pPr>
      <w:r w:rsidRPr="009C7130">
        <w:rPr>
          <w:i/>
          <w:szCs w:val="28"/>
        </w:rPr>
        <w:t>Плата за негативное воздействие на окружающую среду</w:t>
      </w:r>
      <w:r w:rsidRPr="009C7130">
        <w:rPr>
          <w:b/>
          <w:szCs w:val="28"/>
        </w:rPr>
        <w:t xml:space="preserve">  </w:t>
      </w:r>
    </w:p>
    <w:p w:rsidR="00EE15FE" w:rsidRPr="00011F6D" w:rsidRDefault="00EE15FE" w:rsidP="00EE15FE">
      <w:pPr>
        <w:ind w:firstLine="709"/>
        <w:jc w:val="both"/>
        <w:rPr>
          <w:bCs/>
          <w:iCs/>
          <w:szCs w:val="28"/>
        </w:rPr>
      </w:pPr>
      <w:r w:rsidRPr="00011F6D">
        <w:rPr>
          <w:szCs w:val="28"/>
        </w:rPr>
        <w:lastRenderedPageBreak/>
        <w:t xml:space="preserve">Годовой план по указанному доходному источнику в сумме 4 616,5 тыс. рублей исполнен на 129,5 %. Факт 2022 года в сумме 5 980,0 тыс. рублей, на 83,1 % или на 2 713,5 тыс. рублей больше, чем в 2021 году (3 266,5 тыс. рублей) в основном за счет увеличения поступлений платы за размещение отходов производства и потребления в связи с </w:t>
      </w:r>
      <w:r w:rsidRPr="00011F6D">
        <w:rPr>
          <w:bCs/>
          <w:iCs/>
          <w:szCs w:val="28"/>
        </w:rPr>
        <w:t xml:space="preserve">оплатой крупной суммы дебиторской задолженности, а также внесением </w:t>
      </w:r>
      <w:r>
        <w:rPr>
          <w:bCs/>
          <w:iCs/>
          <w:szCs w:val="28"/>
        </w:rPr>
        <w:t xml:space="preserve">платежей </w:t>
      </w:r>
      <w:r w:rsidRPr="00011F6D">
        <w:rPr>
          <w:bCs/>
          <w:iCs/>
          <w:szCs w:val="28"/>
        </w:rPr>
        <w:t>по представленным уточненным декларациям</w:t>
      </w:r>
      <w:r>
        <w:rPr>
          <w:bCs/>
          <w:iCs/>
          <w:szCs w:val="28"/>
        </w:rPr>
        <w:t xml:space="preserve"> о плате за негативное воздействие на окружающую среду</w:t>
      </w:r>
      <w:r w:rsidRPr="00011F6D">
        <w:rPr>
          <w:bCs/>
          <w:iCs/>
          <w:szCs w:val="28"/>
        </w:rPr>
        <w:t>.</w:t>
      </w:r>
    </w:p>
    <w:p w:rsidR="00EE15FE" w:rsidRPr="000733F6" w:rsidRDefault="00EE15FE" w:rsidP="00EE15FE">
      <w:pPr>
        <w:ind w:firstLine="709"/>
        <w:jc w:val="both"/>
        <w:rPr>
          <w:b/>
          <w:szCs w:val="28"/>
        </w:rPr>
      </w:pPr>
      <w:r w:rsidRPr="000733F6">
        <w:rPr>
          <w:i/>
          <w:szCs w:val="28"/>
        </w:rPr>
        <w:t>Платежи при пользовании недрами</w:t>
      </w:r>
      <w:r w:rsidRPr="000733F6">
        <w:rPr>
          <w:b/>
          <w:szCs w:val="28"/>
        </w:rPr>
        <w:t xml:space="preserve"> </w:t>
      </w:r>
    </w:p>
    <w:p w:rsidR="00EE15FE" w:rsidRPr="000733F6" w:rsidRDefault="00EE15FE" w:rsidP="00EE15FE">
      <w:pPr>
        <w:ind w:firstLine="709"/>
        <w:jc w:val="both"/>
        <w:rPr>
          <w:szCs w:val="28"/>
        </w:rPr>
      </w:pPr>
      <w:r w:rsidRPr="000733F6">
        <w:rPr>
          <w:szCs w:val="28"/>
        </w:rPr>
        <w:t xml:space="preserve">Всего по данной подгруппе доходов утвержденный годовой план в сумме 1 104 тыс. рублей выполнен на 111,7 %, фактическое поступление в 2022 году составило 1 232,7 тыс. рублей, что на 8,8 % или на 119,1 тыс. рублей меньше поступлений 2021 года (1 351,7 тыс. рублей). Снижение поступлений к уровню прошлого года обусловлено снижением поступлений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за счет проведения в 2022 году аукциона с меньшей суммой разового платежа по участкам недр местного значения с меньшими запасами полезных ископаемых. </w:t>
      </w:r>
    </w:p>
    <w:p w:rsidR="00EE15FE" w:rsidRPr="008F2399" w:rsidRDefault="00EE15FE" w:rsidP="00EE15FE">
      <w:pPr>
        <w:ind w:firstLine="709"/>
        <w:jc w:val="both"/>
        <w:rPr>
          <w:b/>
          <w:szCs w:val="28"/>
        </w:rPr>
      </w:pPr>
      <w:r w:rsidRPr="008F2399">
        <w:rPr>
          <w:i/>
          <w:szCs w:val="28"/>
        </w:rPr>
        <w:t>Плата за использование лесов</w:t>
      </w:r>
      <w:r w:rsidRPr="008F2399">
        <w:rPr>
          <w:b/>
          <w:szCs w:val="28"/>
        </w:rPr>
        <w:t xml:space="preserve"> </w:t>
      </w:r>
    </w:p>
    <w:p w:rsidR="00EE15FE" w:rsidRPr="008F2399" w:rsidRDefault="00EE15FE" w:rsidP="00EE15FE">
      <w:pPr>
        <w:ind w:firstLine="709"/>
        <w:jc w:val="both"/>
        <w:rPr>
          <w:szCs w:val="28"/>
        </w:rPr>
      </w:pPr>
      <w:r w:rsidRPr="008F2399">
        <w:rPr>
          <w:szCs w:val="28"/>
        </w:rPr>
        <w:t>В целом по указанной подгруппе доходов годовой план в сумме</w:t>
      </w:r>
      <w:r w:rsidR="000E755A">
        <w:rPr>
          <w:szCs w:val="28"/>
        </w:rPr>
        <w:br/>
      </w:r>
      <w:r w:rsidRPr="008F2399">
        <w:rPr>
          <w:szCs w:val="28"/>
        </w:rPr>
        <w:t>79 500 тыс. рублей исполнен на 108,8 %, фактическое поступление доходов в 2022 году составило 86 475,6 тыс. рублей, что на 24,5 % или 16 999,6 тыс. рублей больше поступлений 2021 года (69 476,1 тыс. рублей). Увеличение в основном обусловлено ростом поступлений платы за использование лесов, расположенных на землях лесного фонда, в части, превышающей минимальный размер арендной платы, за счет:</w:t>
      </w:r>
    </w:p>
    <w:p w:rsidR="00EE15FE" w:rsidRPr="00AE2F6C" w:rsidRDefault="00EE15FE" w:rsidP="00EE15FE">
      <w:pPr>
        <w:ind w:firstLine="709"/>
        <w:jc w:val="both"/>
        <w:rPr>
          <w:szCs w:val="28"/>
        </w:rPr>
      </w:pPr>
      <w:r w:rsidRPr="00AE2F6C">
        <w:rPr>
          <w:szCs w:val="28"/>
        </w:rPr>
        <w:t>применения при определении размера арендной платы по договору аренды лесного участка повышающего ежегодного коэффициента к ставкам платы за единицу объема лесных ресурсов и ставкам платы за единицу площади лесного участка в соответствии с постановлением Правительства Российской Федерации от 12</w:t>
      </w:r>
      <w:r>
        <w:rPr>
          <w:szCs w:val="28"/>
        </w:rPr>
        <w:t xml:space="preserve"> октября </w:t>
      </w:r>
      <w:r w:rsidRPr="00AE2F6C">
        <w:rPr>
          <w:szCs w:val="28"/>
        </w:rPr>
        <w:t>2019 года № 1318 «О применении в 2021 - 2023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p>
    <w:p w:rsidR="00EE15FE" w:rsidRPr="00AE2F6C" w:rsidRDefault="00EE15FE" w:rsidP="00EE15FE">
      <w:pPr>
        <w:ind w:firstLine="709"/>
        <w:jc w:val="both"/>
        <w:rPr>
          <w:szCs w:val="28"/>
        </w:rPr>
      </w:pPr>
      <w:r w:rsidRPr="00AE2F6C">
        <w:rPr>
          <w:szCs w:val="28"/>
        </w:rPr>
        <w:t>доначисления оплаты по договорам аренды лесных участков в отношении орехово-промысловых зон в связи с высокоурожайным годом кедрового ореха;</w:t>
      </w:r>
    </w:p>
    <w:p w:rsidR="00EE15FE" w:rsidRPr="00AE2F6C" w:rsidRDefault="00EE15FE" w:rsidP="00EE15FE">
      <w:pPr>
        <w:ind w:firstLine="709"/>
        <w:jc w:val="both"/>
        <w:rPr>
          <w:szCs w:val="28"/>
        </w:rPr>
      </w:pPr>
      <w:r w:rsidRPr="00AE2F6C">
        <w:rPr>
          <w:szCs w:val="28"/>
        </w:rPr>
        <w:t xml:space="preserve">заключения новых договоров аренды лесных участков, досрочной оплатой арендных платежей за периоды 2022 года. </w:t>
      </w:r>
    </w:p>
    <w:p w:rsidR="00EE15FE" w:rsidRPr="0065203F" w:rsidRDefault="00EE15FE" w:rsidP="00EE15FE">
      <w:pPr>
        <w:pStyle w:val="22"/>
        <w:ind w:firstLine="709"/>
        <w:rPr>
          <w:szCs w:val="28"/>
        </w:rPr>
      </w:pPr>
      <w:r w:rsidRPr="00AE2F6C">
        <w:rPr>
          <w:i/>
          <w:szCs w:val="28"/>
        </w:rPr>
        <w:t>Доходы от оказания платных услуг (работ) и компенсации затрат государства</w:t>
      </w:r>
    </w:p>
    <w:p w:rsidR="00EE15FE" w:rsidRPr="00533BBA" w:rsidRDefault="00EE15FE" w:rsidP="00EE15FE">
      <w:pPr>
        <w:ind w:firstLine="709"/>
        <w:jc w:val="both"/>
        <w:rPr>
          <w:szCs w:val="28"/>
        </w:rPr>
      </w:pPr>
      <w:r w:rsidRPr="00533BBA">
        <w:rPr>
          <w:szCs w:val="28"/>
        </w:rPr>
        <w:t>При плане 90 550,3 тыс. рублей поступило 87 579,0 тыс. рублей, выполнение плана составило 96,7 %. По сравнению с 2021 годом (83 219,5 тыс. рублей) объем поступлений увеличился на 5,2 % или на 4 359,5 тыс. рублей.</w:t>
      </w:r>
    </w:p>
    <w:p w:rsidR="00EE15FE" w:rsidRPr="00533BBA" w:rsidRDefault="00EE15FE" w:rsidP="00EE15FE">
      <w:pPr>
        <w:ind w:firstLine="709"/>
        <w:jc w:val="both"/>
        <w:rPr>
          <w:szCs w:val="28"/>
        </w:rPr>
      </w:pPr>
      <w:r w:rsidRPr="00533BBA">
        <w:rPr>
          <w:szCs w:val="28"/>
        </w:rPr>
        <w:t>В разрезе доходов, входящих в указанную подгруппу:</w:t>
      </w:r>
    </w:p>
    <w:p w:rsidR="00EE15FE" w:rsidRPr="0072465E" w:rsidRDefault="00EE15FE" w:rsidP="00EE15FE">
      <w:pPr>
        <w:ind w:firstLine="709"/>
        <w:jc w:val="both"/>
        <w:rPr>
          <w:szCs w:val="28"/>
        </w:rPr>
      </w:pPr>
      <w:r w:rsidRPr="0072465E">
        <w:rPr>
          <w:i/>
          <w:szCs w:val="28"/>
        </w:rPr>
        <w:lastRenderedPageBreak/>
        <w:t>Доходы от оказания платных услуг (работ)</w:t>
      </w:r>
      <w:r w:rsidRPr="0072465E">
        <w:rPr>
          <w:szCs w:val="28"/>
        </w:rPr>
        <w:t xml:space="preserve"> – годовой план в размере 54 660,2 тыс. рублей выполнен на 101,1 %, фактическое поступление 2022 года составило 55 278,3 тыс. рублей, к 2021 году (56 792,9 тыс. рублей) отмечено снижение поступлений на 2,7 % или 1 514,5 тыс. рублей. Снижение поступлений доходов от оказания платных услуг (работ) к уровню 2021 года обусловлен в основном снижением количества оказанных платных медицинских услуг учреждениями здравоохранения Республики Алтай (КУЗ РА «Противотуберкулезный диспансер» в связи с снижением количества заболевших </w:t>
      </w:r>
      <w:proofErr w:type="spellStart"/>
      <w:r w:rsidRPr="0072465E">
        <w:rPr>
          <w:szCs w:val="28"/>
        </w:rPr>
        <w:t>коронавирусной</w:t>
      </w:r>
      <w:proofErr w:type="spellEnd"/>
      <w:r w:rsidRPr="0072465E">
        <w:rPr>
          <w:szCs w:val="28"/>
        </w:rPr>
        <w:t xml:space="preserve"> инфекцией Covid-19);</w:t>
      </w:r>
    </w:p>
    <w:p w:rsidR="00EE15FE" w:rsidRPr="007908DA" w:rsidRDefault="00EE15FE" w:rsidP="00EE15FE">
      <w:pPr>
        <w:ind w:firstLine="709"/>
        <w:jc w:val="both"/>
        <w:rPr>
          <w:szCs w:val="28"/>
        </w:rPr>
      </w:pPr>
      <w:r w:rsidRPr="0072465E">
        <w:rPr>
          <w:i/>
          <w:szCs w:val="28"/>
        </w:rPr>
        <w:t>Доходы от компенсации затрат государства</w:t>
      </w:r>
      <w:r w:rsidRPr="0072465E">
        <w:rPr>
          <w:szCs w:val="28"/>
        </w:rPr>
        <w:t xml:space="preserve"> – годовой план в размере 35 890,1 тыс. рублей выполнен на 90 %, фактическое поступление 2022 года составило 32 300,6 тыс. рублей, к 2021 году (26 426,6 тыс. рублей) поступления выросли на 22,3 % или на 5 874,0 тыс. рублей. Невыполнение годовых плановых назначений обусловлено планированием в большем объеме поступлений доходов, в порядке возмещения расходов, понесенных в связи с эксплуатацией имущества, возмещения средств за поставку некачественных средств индивидуальной защиты.</w:t>
      </w:r>
    </w:p>
    <w:p w:rsidR="00EE15FE" w:rsidRPr="003F37A0" w:rsidRDefault="00EE15FE" w:rsidP="00EE15FE">
      <w:pPr>
        <w:ind w:firstLine="709"/>
        <w:jc w:val="both"/>
        <w:rPr>
          <w:szCs w:val="28"/>
        </w:rPr>
      </w:pPr>
      <w:r w:rsidRPr="007908DA">
        <w:rPr>
          <w:i/>
          <w:szCs w:val="28"/>
        </w:rPr>
        <w:t>Доходы от продажи материальных и нематериальных активов</w:t>
      </w:r>
      <w:r w:rsidRPr="003F37A0">
        <w:rPr>
          <w:szCs w:val="28"/>
        </w:rPr>
        <w:t xml:space="preserve"> - фактическое поступление по данной подгруппе доходов составило 6 142,3 тыс. рублей, годовой план в сумме 6 133 тыс. рублей выполнен на 100,2 %.</w:t>
      </w:r>
    </w:p>
    <w:p w:rsidR="00EE15FE" w:rsidRPr="003F37A0" w:rsidRDefault="00EE15FE" w:rsidP="00EE15FE">
      <w:pPr>
        <w:ind w:firstLine="709"/>
        <w:jc w:val="both"/>
        <w:rPr>
          <w:szCs w:val="28"/>
        </w:rPr>
      </w:pPr>
      <w:r w:rsidRPr="00A03321">
        <w:rPr>
          <w:szCs w:val="28"/>
        </w:rPr>
        <w:t>В сравнении с 2021 годом (1 553,8 тыс. рублей) поступления выросли практически в 4 раза или на 4 588,6 тыс. рублей, в основном за счет выкупа земельных участков сельскохозяйственного назначения их арендаторам по истечении трехлетнего срока с момента заключения договора аренды, а также выкупа земельных участков собственниками расположенных на таких участках зданий, сооружений либо помещений в соответствии со статьей 39.3 Земельного кодекса Российской Федерации.</w:t>
      </w:r>
    </w:p>
    <w:p w:rsidR="00EE15FE" w:rsidRPr="00E82523" w:rsidRDefault="00EE15FE" w:rsidP="00EE15FE">
      <w:pPr>
        <w:ind w:firstLine="709"/>
        <w:jc w:val="both"/>
        <w:rPr>
          <w:szCs w:val="28"/>
        </w:rPr>
      </w:pPr>
      <w:r w:rsidRPr="00E82523">
        <w:rPr>
          <w:i/>
          <w:szCs w:val="28"/>
        </w:rPr>
        <w:t>По подгруппе доходов «Административные платежи и сборы»</w:t>
      </w:r>
      <w:r w:rsidRPr="00E82523">
        <w:rPr>
          <w:szCs w:val="28"/>
        </w:rPr>
        <w:t xml:space="preserve"> в республиканский бюджет зачисляются: </w:t>
      </w:r>
    </w:p>
    <w:p w:rsidR="00EE15FE" w:rsidRPr="00E82523" w:rsidRDefault="00EE15FE" w:rsidP="00EE15FE">
      <w:pPr>
        <w:ind w:firstLine="709"/>
        <w:jc w:val="both"/>
        <w:rPr>
          <w:szCs w:val="28"/>
        </w:rPr>
      </w:pPr>
      <w:r w:rsidRPr="00E82523">
        <w:rPr>
          <w:szCs w:val="28"/>
        </w:rPr>
        <w:t xml:space="preserve">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EE15FE" w:rsidRPr="00E82523" w:rsidRDefault="00EE15FE" w:rsidP="00EE15FE">
      <w:pPr>
        <w:ind w:firstLine="709"/>
        <w:jc w:val="both"/>
        <w:rPr>
          <w:szCs w:val="28"/>
        </w:rPr>
      </w:pPr>
      <w:r w:rsidRPr="00E82523">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w:t>
      </w:r>
    </w:p>
    <w:p w:rsidR="00EE15FE" w:rsidRPr="00CF1FA6" w:rsidRDefault="00EE15FE" w:rsidP="00EE15FE">
      <w:pPr>
        <w:ind w:firstLine="709"/>
        <w:jc w:val="both"/>
        <w:rPr>
          <w:szCs w:val="28"/>
        </w:rPr>
      </w:pPr>
      <w:r w:rsidRPr="00E82523">
        <w:rPr>
          <w:szCs w:val="28"/>
        </w:rPr>
        <w:t xml:space="preserve">Фактическое поступление в 2022 году составило 98,7 тыс. рублей, что </w:t>
      </w:r>
      <w:r w:rsidRPr="00EE15FE">
        <w:rPr>
          <w:szCs w:val="28"/>
        </w:rPr>
        <w:t>на 8,9 % или на 9,7 тыс. рублей меньше поступлений 2021 года (108,4 тыс. рублей</w:t>
      </w:r>
      <w:r w:rsidRPr="00E82523">
        <w:rPr>
          <w:szCs w:val="28"/>
        </w:rPr>
        <w:t>) и связано с уменьшением поступлений платы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(за 202</w:t>
      </w:r>
      <w:r>
        <w:rPr>
          <w:szCs w:val="28"/>
        </w:rPr>
        <w:t>2</w:t>
      </w:r>
      <w:r w:rsidRPr="00E82523">
        <w:rPr>
          <w:szCs w:val="28"/>
        </w:rPr>
        <w:t xml:space="preserve"> год выдано </w:t>
      </w:r>
      <w:r>
        <w:rPr>
          <w:szCs w:val="28"/>
        </w:rPr>
        <w:t xml:space="preserve">5 </w:t>
      </w:r>
      <w:r w:rsidRPr="00E82523">
        <w:rPr>
          <w:szCs w:val="28"/>
        </w:rPr>
        <w:t xml:space="preserve">разрешений, в 2021 году выдано 15 разрешений). </w:t>
      </w:r>
      <w:r>
        <w:rPr>
          <w:szCs w:val="28"/>
        </w:rPr>
        <w:t xml:space="preserve">Годовой план в сумме 108,4 тыс. рублей выполнен на 91%. </w:t>
      </w:r>
      <w:r w:rsidRPr="00CF1FA6">
        <w:rPr>
          <w:szCs w:val="28"/>
        </w:rPr>
        <w:t xml:space="preserve">Невыполнение плана </w:t>
      </w:r>
      <w:r>
        <w:rPr>
          <w:szCs w:val="28"/>
        </w:rPr>
        <w:t xml:space="preserve">и снижение </w:t>
      </w:r>
      <w:r>
        <w:rPr>
          <w:szCs w:val="28"/>
        </w:rPr>
        <w:lastRenderedPageBreak/>
        <w:t xml:space="preserve">поступлений </w:t>
      </w:r>
      <w:r w:rsidRPr="00CF1FA6">
        <w:rPr>
          <w:szCs w:val="28"/>
        </w:rPr>
        <w:t xml:space="preserve">связано с уменьшением количества лиц, обратившихся за получением разрешения на осуществление деятельности по перевозке пассажиров и багажа легковым такси на территории Республики Алтай в связи с заключением водителями договоров на перевозку с </w:t>
      </w:r>
      <w:proofErr w:type="spellStart"/>
      <w:r w:rsidRPr="00CF1FA6">
        <w:rPr>
          <w:szCs w:val="28"/>
        </w:rPr>
        <w:t>агрегаторами</w:t>
      </w:r>
      <w:proofErr w:type="spellEnd"/>
      <w:r w:rsidRPr="00CF1FA6">
        <w:rPr>
          <w:szCs w:val="28"/>
        </w:rPr>
        <w:t xml:space="preserve"> такси.</w:t>
      </w:r>
    </w:p>
    <w:p w:rsidR="00EE15FE" w:rsidRPr="0065203F" w:rsidRDefault="00EE15FE" w:rsidP="00EE15FE">
      <w:pPr>
        <w:ind w:firstLine="709"/>
        <w:jc w:val="both"/>
        <w:rPr>
          <w:i/>
          <w:szCs w:val="28"/>
        </w:rPr>
      </w:pPr>
      <w:r w:rsidRPr="0065203F">
        <w:rPr>
          <w:i/>
          <w:szCs w:val="28"/>
        </w:rPr>
        <w:t>Штрафы, санкции, возмещение ущерба</w:t>
      </w:r>
    </w:p>
    <w:p w:rsidR="00EE15FE" w:rsidRPr="00574CE2" w:rsidRDefault="00EE15FE" w:rsidP="00EE15FE">
      <w:pPr>
        <w:ind w:firstLine="709"/>
        <w:jc w:val="both"/>
        <w:rPr>
          <w:color w:val="FF0000"/>
          <w:szCs w:val="28"/>
        </w:rPr>
      </w:pPr>
      <w:r w:rsidRPr="00443328">
        <w:rPr>
          <w:szCs w:val="28"/>
        </w:rPr>
        <w:t>Плановые показатели в сумме 309 213 тыс. рублей выполнены на 92,5 %, фактическое поступление составило 285 944,4 тыс. рублей, что на 20,9 % или на 49 365,2 тыс. рублей больше поступлений 2021 года (236 579,2 тыс. рублей). Рост поступлений в основном связан с ростом поступлений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 а также административных штрафов, установленных главой 20 Кодекса Российской Федерации об административных правонарушениях, за административные правонарушения посягающие на общественный и общественную безопасность, налагаемые мировыми судьями, комиссиями по делам несовершеннолетних и защите их прав.</w:t>
      </w:r>
      <w:r w:rsidRPr="005C56E5">
        <w:rPr>
          <w:szCs w:val="28"/>
        </w:rPr>
        <w:t xml:space="preserve"> </w:t>
      </w:r>
      <w:r w:rsidRPr="00FA728C">
        <w:rPr>
          <w:szCs w:val="28"/>
        </w:rPr>
        <w:t xml:space="preserve">Невыполнение плановых показателей </w:t>
      </w:r>
      <w:r>
        <w:rPr>
          <w:szCs w:val="28"/>
        </w:rPr>
        <w:t xml:space="preserve">связано с меньшим чем планировалось поступлением </w:t>
      </w:r>
      <w:r w:rsidRPr="00443328">
        <w:rPr>
          <w:szCs w:val="28"/>
        </w:rPr>
        <w:t>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w:t>
      </w:r>
      <w:r>
        <w:rPr>
          <w:szCs w:val="28"/>
        </w:rPr>
        <w:t xml:space="preserve">, в 4 квартале 2022 года. </w:t>
      </w:r>
    </w:p>
    <w:p w:rsidR="00EE15FE" w:rsidRPr="00443328" w:rsidRDefault="00EE15FE" w:rsidP="00EE15FE">
      <w:pPr>
        <w:autoSpaceDE w:val="0"/>
        <w:autoSpaceDN w:val="0"/>
        <w:adjustRightInd w:val="0"/>
        <w:ind w:firstLine="709"/>
        <w:jc w:val="both"/>
        <w:rPr>
          <w:szCs w:val="28"/>
        </w:rPr>
      </w:pPr>
    </w:p>
    <w:p w:rsidR="00EE15FE" w:rsidRPr="008A6CF0" w:rsidRDefault="00EE15FE" w:rsidP="00EE15FE">
      <w:pPr>
        <w:ind w:firstLine="709"/>
        <w:jc w:val="both"/>
        <w:rPr>
          <w:i/>
          <w:szCs w:val="28"/>
        </w:rPr>
      </w:pPr>
      <w:r w:rsidRPr="008A6CF0">
        <w:rPr>
          <w:i/>
          <w:szCs w:val="28"/>
        </w:rPr>
        <w:t>Прочие неналоговые доходы</w:t>
      </w:r>
    </w:p>
    <w:p w:rsidR="00EE15FE" w:rsidRPr="008A6CF0" w:rsidRDefault="00EE15FE" w:rsidP="00EE15FE">
      <w:pPr>
        <w:ind w:firstLine="709"/>
        <w:jc w:val="both"/>
        <w:rPr>
          <w:szCs w:val="28"/>
        </w:rPr>
      </w:pPr>
      <w:r w:rsidRPr="008A6CF0">
        <w:rPr>
          <w:szCs w:val="28"/>
        </w:rPr>
        <w:t>По подгруппе «Прочие неналоговые доходы» за исключением невыясненных поступлений фактическое поступление составило 787,8 тыс. рублей при годовом плане 780 тыс. рублей</w:t>
      </w:r>
      <w:r>
        <w:rPr>
          <w:szCs w:val="28"/>
        </w:rPr>
        <w:t>, выполнение которого составило 101%</w:t>
      </w:r>
      <w:r w:rsidRPr="008A6CF0">
        <w:rPr>
          <w:szCs w:val="28"/>
        </w:rPr>
        <w:t xml:space="preserve"> (плата от АО «Центр эксплуатации объектов наземной космической инфраструктуры» за разовое использование района падения отделяющихся частей ракет и ракетоносителей при проведении запуска космического аппарата на основании заключенного договора).</w:t>
      </w:r>
    </w:p>
    <w:p w:rsidR="00DD6F3B" w:rsidRPr="00EB3226" w:rsidRDefault="00DD6F3B" w:rsidP="00DD6F3B">
      <w:pPr>
        <w:ind w:firstLine="709"/>
        <w:jc w:val="both"/>
        <w:rPr>
          <w:i/>
          <w:szCs w:val="28"/>
        </w:rPr>
      </w:pPr>
      <w:r w:rsidRPr="00EB3226">
        <w:rPr>
          <w:i/>
          <w:szCs w:val="28"/>
        </w:rPr>
        <w:t>Безвозмездные поступления от других бюджетов бюджетной системы Российской Федерации</w:t>
      </w:r>
    </w:p>
    <w:p w:rsidR="00DD6F3B" w:rsidRPr="003102D6" w:rsidRDefault="00DD6F3B" w:rsidP="00DD6F3B">
      <w:pPr>
        <w:ind w:firstLine="709"/>
        <w:jc w:val="both"/>
        <w:rPr>
          <w:szCs w:val="28"/>
        </w:rPr>
      </w:pPr>
      <w:r w:rsidRPr="003102D6">
        <w:rPr>
          <w:szCs w:val="28"/>
        </w:rPr>
        <w:t>В 2022 году из федерального бюджета поступило 22 490 475,6 тыс. рублей межбюджетных трансфертов, что на 2 531 714,2   тыс. рублей больше, чем в 2021 году (19 958 761,4тыс. рублей). Изменения произошли в результате:</w:t>
      </w:r>
    </w:p>
    <w:p w:rsidR="00DD6F3B" w:rsidRPr="003102D6" w:rsidRDefault="00DD6F3B" w:rsidP="00DD6F3B">
      <w:pPr>
        <w:ind w:firstLine="709"/>
        <w:jc w:val="both"/>
        <w:rPr>
          <w:szCs w:val="28"/>
        </w:rPr>
      </w:pPr>
      <w:r w:rsidRPr="003102D6">
        <w:rPr>
          <w:szCs w:val="28"/>
        </w:rPr>
        <w:t xml:space="preserve">- увеличения дотаций бюджетам бюджетной системы Российской Федерации на  268 082,5   тыс. рублей, в т. ч.: </w:t>
      </w:r>
    </w:p>
    <w:p w:rsidR="00DD6F3B" w:rsidRPr="003102D6" w:rsidRDefault="00DD6F3B" w:rsidP="00DD6F3B">
      <w:pPr>
        <w:ind w:firstLine="709"/>
        <w:jc w:val="both"/>
        <w:rPr>
          <w:szCs w:val="28"/>
        </w:rPr>
      </w:pPr>
      <w:r w:rsidRPr="003102D6">
        <w:rPr>
          <w:szCs w:val="28"/>
        </w:rPr>
        <w:t>- увеличения дотации бюджетам на выравнивание бюджетной обеспеченности в сумме 937 494,40   тыс. рублей;</w:t>
      </w:r>
    </w:p>
    <w:p w:rsidR="00DD6F3B" w:rsidRPr="003102D6" w:rsidRDefault="00DD6F3B" w:rsidP="00DD6F3B">
      <w:pPr>
        <w:ind w:firstLine="709"/>
        <w:jc w:val="both"/>
        <w:rPr>
          <w:szCs w:val="28"/>
        </w:rPr>
      </w:pPr>
      <w:r w:rsidRPr="003102D6">
        <w:rPr>
          <w:szCs w:val="28"/>
        </w:rPr>
        <w:t>- увеличения дотации бюджетам на частичную компенсацию дополнительных расходов на повышение оплаты труда работников бюджетной сферы в сумме 173 099,00   тыс. рублей;</w:t>
      </w:r>
    </w:p>
    <w:p w:rsidR="00DD6F3B" w:rsidRPr="003102D6" w:rsidRDefault="00DD6F3B" w:rsidP="00DD6F3B">
      <w:pPr>
        <w:ind w:firstLine="709"/>
        <w:jc w:val="both"/>
        <w:rPr>
          <w:szCs w:val="28"/>
        </w:rPr>
      </w:pPr>
      <w:r w:rsidRPr="003102D6">
        <w:rPr>
          <w:szCs w:val="28"/>
        </w:rPr>
        <w:t>- сокращения дотации на поддержку мер по обеспечению сбалансированности бюджетов в сумме 623 700,00   тыс. рублей;</w:t>
      </w:r>
    </w:p>
    <w:p w:rsidR="00DD6F3B" w:rsidRPr="003102D6" w:rsidRDefault="00DD6F3B" w:rsidP="00DD6F3B">
      <w:pPr>
        <w:ind w:firstLine="709"/>
        <w:jc w:val="both"/>
        <w:rPr>
          <w:szCs w:val="28"/>
        </w:rPr>
      </w:pPr>
      <w:r w:rsidRPr="003102D6">
        <w:rPr>
          <w:szCs w:val="28"/>
        </w:rPr>
        <w:lastRenderedPageBreak/>
        <w:t>- сокращения дотации (гранты) за достижение показателей деятельности органов исполнительной власти субъектов Российской Федерации в сумме 186 362,2 тыс. рублей;</w:t>
      </w:r>
    </w:p>
    <w:p w:rsidR="00DD6F3B" w:rsidRPr="003102D6" w:rsidRDefault="00DD6F3B" w:rsidP="00DD6F3B">
      <w:pPr>
        <w:ind w:firstLine="709"/>
        <w:jc w:val="both"/>
        <w:rPr>
          <w:szCs w:val="28"/>
        </w:rPr>
      </w:pPr>
      <w:r w:rsidRPr="003102D6">
        <w:rPr>
          <w:szCs w:val="28"/>
        </w:rPr>
        <w:t xml:space="preserve">- сокращения дотации бюджетам на поддержку мер по обеспечению сбалансированности бюджетов на финансовое обеспечение мероприятий по борьбе с новой </w:t>
      </w:r>
      <w:proofErr w:type="spellStart"/>
      <w:r w:rsidRPr="003102D6">
        <w:rPr>
          <w:szCs w:val="28"/>
        </w:rPr>
        <w:t>коронавирусной</w:t>
      </w:r>
      <w:proofErr w:type="spellEnd"/>
      <w:r w:rsidRPr="003102D6">
        <w:rPr>
          <w:szCs w:val="28"/>
        </w:rPr>
        <w:t xml:space="preserve"> инфекцией (COVID-19) в сумме 32 448,7 тыс. рублей;</w:t>
      </w:r>
    </w:p>
    <w:p w:rsidR="00DD6F3B" w:rsidRPr="003102D6" w:rsidRDefault="00DD6F3B" w:rsidP="00DD6F3B">
      <w:pPr>
        <w:tabs>
          <w:tab w:val="left" w:pos="1134"/>
        </w:tabs>
        <w:autoSpaceDE w:val="0"/>
        <w:autoSpaceDN w:val="0"/>
        <w:adjustRightInd w:val="0"/>
        <w:ind w:firstLine="567"/>
        <w:contextualSpacing/>
        <w:jc w:val="both"/>
        <w:rPr>
          <w:szCs w:val="28"/>
        </w:rPr>
      </w:pPr>
      <w:r w:rsidRPr="003102D6">
        <w:rPr>
          <w:szCs w:val="28"/>
        </w:rPr>
        <w:t>- увеличения объема субсидий, сальдо по которым составило 2 965 088,9 тыс. рублей и сокращения объема субвенций и иных межбюджетных трансфертов, сальдо по которым составило 701 457,2 тыс. рублей и обусловлено:</w:t>
      </w:r>
    </w:p>
    <w:p w:rsidR="000A309F" w:rsidRDefault="00DD6F3B" w:rsidP="00DD6F3B">
      <w:pPr>
        <w:tabs>
          <w:tab w:val="left" w:pos="1134"/>
        </w:tabs>
        <w:autoSpaceDE w:val="0"/>
        <w:autoSpaceDN w:val="0"/>
        <w:adjustRightInd w:val="0"/>
        <w:ind w:firstLine="567"/>
        <w:contextualSpacing/>
        <w:jc w:val="both"/>
        <w:rPr>
          <w:szCs w:val="28"/>
        </w:rPr>
      </w:pPr>
      <w:r w:rsidRPr="003102D6">
        <w:rPr>
          <w:szCs w:val="28"/>
        </w:rPr>
        <w:t>- увеличением 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субсидии бюджетам субъектов Российской Федерации на реализацию мероприятий по созданию в субъектах Российской Федерации новых мест в об</w:t>
      </w:r>
      <w:r w:rsidR="000A309F">
        <w:rPr>
          <w:szCs w:val="28"/>
        </w:rPr>
        <w:t>щеобразовательных организациях;</w:t>
      </w:r>
    </w:p>
    <w:p w:rsidR="00DD6F3B" w:rsidRPr="003102D6" w:rsidRDefault="000A309F" w:rsidP="00DD6F3B">
      <w:pPr>
        <w:tabs>
          <w:tab w:val="left" w:pos="1134"/>
        </w:tabs>
        <w:autoSpaceDE w:val="0"/>
        <w:autoSpaceDN w:val="0"/>
        <w:adjustRightInd w:val="0"/>
        <w:ind w:firstLine="567"/>
        <w:contextualSpacing/>
        <w:jc w:val="both"/>
        <w:rPr>
          <w:szCs w:val="28"/>
        </w:rPr>
      </w:pPr>
      <w:r>
        <w:rPr>
          <w:szCs w:val="28"/>
        </w:rPr>
        <w:t xml:space="preserve">С появлением новых </w:t>
      </w:r>
      <w:r w:rsidR="00DD6F3B" w:rsidRPr="003102D6">
        <w:rPr>
          <w:szCs w:val="28"/>
        </w:rPr>
        <w:t>субсиди</w:t>
      </w:r>
      <w:r>
        <w:rPr>
          <w:szCs w:val="28"/>
        </w:rPr>
        <w:t>й</w:t>
      </w:r>
      <w:r w:rsidR="00DD6F3B" w:rsidRPr="003102D6">
        <w:rPr>
          <w:szCs w:val="28"/>
        </w:rPr>
        <w:t xml:space="preserve"> бюджетам на обеспечение поддержки общественных инициатив на создание модульных некапитальных средств размещения (кемпингов и </w:t>
      </w:r>
      <w:proofErr w:type="spellStart"/>
      <w:r w:rsidR="00DD6F3B" w:rsidRPr="003102D6">
        <w:rPr>
          <w:szCs w:val="28"/>
        </w:rPr>
        <w:t>автокемпингов</w:t>
      </w:r>
      <w:proofErr w:type="spellEnd"/>
      <w:r w:rsidR="00DD6F3B" w:rsidRPr="003102D6">
        <w:rPr>
          <w:szCs w:val="28"/>
        </w:rPr>
        <w:t>)</w:t>
      </w:r>
      <w:r>
        <w:rPr>
          <w:szCs w:val="28"/>
        </w:rPr>
        <w:t xml:space="preserve"> и</w:t>
      </w:r>
      <w:r w:rsidR="00DD6F3B" w:rsidRPr="003102D6">
        <w:rPr>
          <w:szCs w:val="28"/>
        </w:rPr>
        <w:t xml:space="preserve"> субсиди</w:t>
      </w:r>
      <w:r>
        <w:rPr>
          <w:szCs w:val="28"/>
        </w:rPr>
        <w:t>й</w:t>
      </w:r>
      <w:r w:rsidR="00DD6F3B" w:rsidRPr="003102D6">
        <w:rPr>
          <w:szCs w:val="28"/>
        </w:rPr>
        <w:t xml:space="preserve"> бюджетам на реализацию мероприятий по модернизации школьных систем образования;</w:t>
      </w:r>
    </w:p>
    <w:p w:rsidR="00DD6F3B" w:rsidRPr="003102D6" w:rsidRDefault="00DD6F3B" w:rsidP="00DD6F3B">
      <w:pPr>
        <w:tabs>
          <w:tab w:val="left" w:pos="1134"/>
        </w:tabs>
        <w:autoSpaceDE w:val="0"/>
        <w:autoSpaceDN w:val="0"/>
        <w:adjustRightInd w:val="0"/>
        <w:ind w:firstLine="567"/>
        <w:contextualSpacing/>
        <w:jc w:val="both"/>
        <w:rPr>
          <w:szCs w:val="28"/>
        </w:rPr>
      </w:pPr>
      <w:r w:rsidRPr="003102D6">
        <w:rPr>
          <w:szCs w:val="28"/>
        </w:rPr>
        <w:t>- сокращением субвенции бюджетам субъектов Российской Федерации на осуществление отдельных полномочий в области лесных отношений,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p w:rsidR="00DD6F3B" w:rsidRPr="003102D6" w:rsidRDefault="00DD6F3B" w:rsidP="00DD6F3B">
      <w:pPr>
        <w:tabs>
          <w:tab w:val="left" w:pos="1134"/>
        </w:tabs>
        <w:autoSpaceDE w:val="0"/>
        <w:autoSpaceDN w:val="0"/>
        <w:adjustRightInd w:val="0"/>
        <w:ind w:firstLine="567"/>
        <w:contextualSpacing/>
        <w:jc w:val="both"/>
        <w:rPr>
          <w:szCs w:val="28"/>
        </w:rPr>
      </w:pPr>
      <w:r w:rsidRPr="003102D6">
        <w:rPr>
          <w:szCs w:val="28"/>
        </w:rPr>
        <w:t>- сокращением межбюджетных трансфертов, передаваемых бюджетам субъектов Российской Федерации, за счет средств резервного фонда Правительства Российской Федерации, межбюджетных трансфертов, передаваемых бюджетам субъектов Российской Федерации на финансовое обеспечение дорожной деятельности, межбюджетных трансфертов, передаваемых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DD6F3B" w:rsidRPr="00EB3226" w:rsidRDefault="00DD6F3B" w:rsidP="00DD6F3B">
      <w:pPr>
        <w:ind w:firstLine="720"/>
        <w:jc w:val="both"/>
        <w:rPr>
          <w:szCs w:val="28"/>
        </w:rPr>
      </w:pPr>
      <w:r w:rsidRPr="003102D6">
        <w:rPr>
          <w:szCs w:val="28"/>
        </w:rPr>
        <w:t>Безвозмездные поступления от государственных (муниципальных) организаций составили 232 288,8 тыс. рублей, безвозмездные поступления от негосударственных организаций 16 747,1 тыс. рублей, прочие безвозмездные поступления 5 325,0 тыс. рублей. Сальдо от возврата остатков субсидий, субвенций и иных межбюджетных трансфертов, имеющих целевое назначение, прошлых лет 252 301,1 тыс. рублей.</w:t>
      </w:r>
    </w:p>
    <w:p w:rsidR="00AA0982" w:rsidRPr="00122611" w:rsidRDefault="00AA0982" w:rsidP="00AA0982">
      <w:pPr>
        <w:jc w:val="center"/>
        <w:rPr>
          <w:i/>
          <w:szCs w:val="28"/>
        </w:rPr>
      </w:pPr>
    </w:p>
    <w:p w:rsidR="00554A16" w:rsidRPr="00EB3226" w:rsidRDefault="00554A16" w:rsidP="00EB3226">
      <w:pPr>
        <w:rPr>
          <w:szCs w:val="28"/>
        </w:rPr>
      </w:pPr>
    </w:p>
    <w:p w:rsidR="00152B49" w:rsidRDefault="00152B49" w:rsidP="00EB3226">
      <w:pPr>
        <w:autoSpaceDE w:val="0"/>
        <w:autoSpaceDN w:val="0"/>
        <w:adjustRightInd w:val="0"/>
        <w:ind w:left="3528" w:firstLine="720"/>
        <w:rPr>
          <w:color w:val="000000"/>
          <w:szCs w:val="28"/>
        </w:rPr>
      </w:pPr>
    </w:p>
    <w:p w:rsidR="00554A16" w:rsidRDefault="00554A16" w:rsidP="00EB3226">
      <w:pPr>
        <w:autoSpaceDE w:val="0"/>
        <w:autoSpaceDN w:val="0"/>
        <w:adjustRightInd w:val="0"/>
        <w:ind w:left="3528" w:firstLine="720"/>
        <w:rPr>
          <w:color w:val="000000"/>
          <w:szCs w:val="28"/>
        </w:rPr>
      </w:pPr>
      <w:r w:rsidRPr="00EB3226">
        <w:rPr>
          <w:color w:val="000000"/>
          <w:szCs w:val="28"/>
        </w:rPr>
        <w:lastRenderedPageBreak/>
        <w:t>РАСХОДЫ</w:t>
      </w:r>
    </w:p>
    <w:p w:rsidR="00BC00F6" w:rsidRPr="00EB3226" w:rsidRDefault="00BC00F6" w:rsidP="00EB3226">
      <w:pPr>
        <w:autoSpaceDE w:val="0"/>
        <w:autoSpaceDN w:val="0"/>
        <w:adjustRightInd w:val="0"/>
        <w:ind w:left="3528" w:firstLine="720"/>
        <w:rPr>
          <w:color w:val="000000"/>
          <w:szCs w:val="28"/>
        </w:rPr>
      </w:pPr>
    </w:p>
    <w:p w:rsidR="00554A16" w:rsidRPr="00EB3226" w:rsidRDefault="00554A16" w:rsidP="00EB3226">
      <w:pPr>
        <w:ind w:firstLine="720"/>
        <w:jc w:val="both"/>
        <w:rPr>
          <w:color w:val="000000"/>
          <w:szCs w:val="28"/>
        </w:rPr>
      </w:pPr>
      <w:r w:rsidRPr="00EB3226">
        <w:rPr>
          <w:color w:val="000000"/>
          <w:szCs w:val="28"/>
        </w:rPr>
        <w:t xml:space="preserve">Общий объем расходов республиканского бюджета, утвержденный Законом Республики Алтай от </w:t>
      </w:r>
      <w:r w:rsidR="00E1000D">
        <w:rPr>
          <w:color w:val="000000"/>
          <w:szCs w:val="28"/>
        </w:rPr>
        <w:t>1</w:t>
      </w:r>
      <w:r w:rsidR="00C107F3">
        <w:rPr>
          <w:color w:val="000000"/>
          <w:szCs w:val="28"/>
        </w:rPr>
        <w:t>7</w:t>
      </w:r>
      <w:r w:rsidRPr="00EB3226">
        <w:rPr>
          <w:color w:val="000000"/>
          <w:szCs w:val="28"/>
        </w:rPr>
        <w:t xml:space="preserve"> декабря 20</w:t>
      </w:r>
      <w:r w:rsidR="00E1000D">
        <w:rPr>
          <w:color w:val="000000"/>
          <w:szCs w:val="28"/>
        </w:rPr>
        <w:t>2</w:t>
      </w:r>
      <w:r w:rsidR="00C107F3">
        <w:rPr>
          <w:color w:val="000000"/>
          <w:szCs w:val="28"/>
        </w:rPr>
        <w:t>1</w:t>
      </w:r>
      <w:r w:rsidRPr="00EB3226">
        <w:rPr>
          <w:color w:val="000000"/>
          <w:szCs w:val="28"/>
        </w:rPr>
        <w:t xml:space="preserve"> года № </w:t>
      </w:r>
      <w:r w:rsidR="00983408">
        <w:rPr>
          <w:color w:val="000000"/>
          <w:szCs w:val="28"/>
        </w:rPr>
        <w:t>87</w:t>
      </w:r>
      <w:r w:rsidRPr="00EB3226">
        <w:rPr>
          <w:color w:val="000000"/>
          <w:szCs w:val="28"/>
        </w:rPr>
        <w:t>-РЗ «О республиканском бюджете Республики Алтай на 20</w:t>
      </w:r>
      <w:r w:rsidR="000D6C77" w:rsidRPr="00EB3226">
        <w:rPr>
          <w:color w:val="000000"/>
          <w:szCs w:val="28"/>
        </w:rPr>
        <w:t>2</w:t>
      </w:r>
      <w:r w:rsidR="00C107F3">
        <w:rPr>
          <w:color w:val="000000"/>
          <w:szCs w:val="28"/>
        </w:rPr>
        <w:t>2</w:t>
      </w:r>
      <w:r w:rsidRPr="00EB3226">
        <w:rPr>
          <w:color w:val="000000"/>
          <w:szCs w:val="28"/>
        </w:rPr>
        <w:t xml:space="preserve"> год и</w:t>
      </w:r>
      <w:r w:rsidRPr="00EB3226">
        <w:rPr>
          <w:b/>
          <w:szCs w:val="28"/>
        </w:rPr>
        <w:t xml:space="preserve"> </w:t>
      </w:r>
      <w:r w:rsidRPr="00EB3226">
        <w:rPr>
          <w:szCs w:val="28"/>
        </w:rPr>
        <w:t>на плановый период 202</w:t>
      </w:r>
      <w:r w:rsidR="00C107F3">
        <w:rPr>
          <w:szCs w:val="28"/>
        </w:rPr>
        <w:t>3</w:t>
      </w:r>
      <w:r w:rsidRPr="00EB3226">
        <w:rPr>
          <w:szCs w:val="28"/>
        </w:rPr>
        <w:t xml:space="preserve"> и 202</w:t>
      </w:r>
      <w:r w:rsidR="00C107F3">
        <w:rPr>
          <w:szCs w:val="28"/>
        </w:rPr>
        <w:t>4</w:t>
      </w:r>
      <w:r w:rsidRPr="00EB3226">
        <w:rPr>
          <w:szCs w:val="28"/>
        </w:rPr>
        <w:t xml:space="preserve"> годов</w:t>
      </w:r>
      <w:r w:rsidRPr="00EB3226">
        <w:rPr>
          <w:color w:val="000000"/>
          <w:szCs w:val="28"/>
        </w:rPr>
        <w:t>» (далее - Закон о бюджете на 20</w:t>
      </w:r>
      <w:r w:rsidR="000D6C77" w:rsidRPr="00EB3226">
        <w:rPr>
          <w:color w:val="000000"/>
          <w:szCs w:val="28"/>
        </w:rPr>
        <w:t>2</w:t>
      </w:r>
      <w:r w:rsidR="00C107F3">
        <w:rPr>
          <w:color w:val="000000"/>
          <w:szCs w:val="28"/>
        </w:rPr>
        <w:t>2</w:t>
      </w:r>
      <w:r w:rsidRPr="00EB3226">
        <w:rPr>
          <w:color w:val="000000"/>
          <w:szCs w:val="28"/>
        </w:rPr>
        <w:t xml:space="preserve"> год) утвержден </w:t>
      </w:r>
      <w:r w:rsidR="000D6C77" w:rsidRPr="00EB3226">
        <w:rPr>
          <w:color w:val="000000"/>
          <w:szCs w:val="28"/>
        </w:rPr>
        <w:t xml:space="preserve">на </w:t>
      </w:r>
      <w:r w:rsidRPr="00EB3226">
        <w:rPr>
          <w:color w:val="000000"/>
          <w:szCs w:val="28"/>
        </w:rPr>
        <w:t>20</w:t>
      </w:r>
      <w:r w:rsidR="000D6C77" w:rsidRPr="00EB3226">
        <w:rPr>
          <w:color w:val="000000"/>
          <w:szCs w:val="28"/>
        </w:rPr>
        <w:t>2</w:t>
      </w:r>
      <w:r w:rsidR="00C107F3">
        <w:rPr>
          <w:color w:val="000000"/>
          <w:szCs w:val="28"/>
        </w:rPr>
        <w:t>2</w:t>
      </w:r>
      <w:r w:rsidRPr="00EB3226">
        <w:rPr>
          <w:color w:val="000000"/>
          <w:szCs w:val="28"/>
        </w:rPr>
        <w:t xml:space="preserve"> год в сумме </w:t>
      </w:r>
      <w:r w:rsidR="00E1000D">
        <w:rPr>
          <w:szCs w:val="28"/>
        </w:rPr>
        <w:t>2</w:t>
      </w:r>
      <w:r w:rsidR="00983408">
        <w:rPr>
          <w:szCs w:val="28"/>
        </w:rPr>
        <w:t>7 645 834,0</w:t>
      </w:r>
      <w:r w:rsidR="008271F5" w:rsidRPr="00EB3226">
        <w:rPr>
          <w:szCs w:val="28"/>
        </w:rPr>
        <w:t xml:space="preserve"> </w:t>
      </w:r>
      <w:r w:rsidRPr="00EB3226">
        <w:rPr>
          <w:color w:val="000000"/>
          <w:szCs w:val="28"/>
        </w:rPr>
        <w:t xml:space="preserve">тыс. рублей. </w:t>
      </w:r>
    </w:p>
    <w:p w:rsidR="00F84E23" w:rsidRDefault="00554A16" w:rsidP="00E1000D">
      <w:pPr>
        <w:ind w:firstLine="720"/>
        <w:jc w:val="both"/>
        <w:rPr>
          <w:szCs w:val="28"/>
        </w:rPr>
      </w:pPr>
      <w:r w:rsidRPr="00EB3226">
        <w:rPr>
          <w:color w:val="000000"/>
          <w:szCs w:val="28"/>
        </w:rPr>
        <w:t>В 20</w:t>
      </w:r>
      <w:r w:rsidR="008271F5" w:rsidRPr="00EB3226">
        <w:rPr>
          <w:color w:val="000000"/>
          <w:szCs w:val="28"/>
        </w:rPr>
        <w:t>2</w:t>
      </w:r>
      <w:r w:rsidR="00F276B4">
        <w:rPr>
          <w:color w:val="000000"/>
          <w:szCs w:val="28"/>
        </w:rPr>
        <w:t>2</w:t>
      </w:r>
      <w:r w:rsidRPr="00EB3226">
        <w:rPr>
          <w:color w:val="000000"/>
          <w:szCs w:val="28"/>
        </w:rPr>
        <w:t xml:space="preserve"> году в закон о республиканском бюджете  вносились изменения в соответствии с  Законами Республики Алтай от </w:t>
      </w:r>
      <w:r w:rsidR="00C107F3">
        <w:rPr>
          <w:color w:val="000000"/>
          <w:szCs w:val="28"/>
        </w:rPr>
        <w:t xml:space="preserve">25 марта </w:t>
      </w:r>
      <w:r w:rsidRPr="00EB3226">
        <w:rPr>
          <w:color w:val="000000"/>
          <w:szCs w:val="28"/>
        </w:rPr>
        <w:t xml:space="preserve"> 20</w:t>
      </w:r>
      <w:r w:rsidR="008271F5" w:rsidRPr="00EB3226">
        <w:rPr>
          <w:color w:val="000000"/>
          <w:szCs w:val="28"/>
        </w:rPr>
        <w:t>2</w:t>
      </w:r>
      <w:r w:rsidR="00C107F3">
        <w:rPr>
          <w:color w:val="000000"/>
          <w:szCs w:val="28"/>
        </w:rPr>
        <w:t>2</w:t>
      </w:r>
      <w:r w:rsidRPr="00EB3226">
        <w:rPr>
          <w:color w:val="000000"/>
          <w:szCs w:val="28"/>
        </w:rPr>
        <w:t xml:space="preserve"> года №</w:t>
      </w:r>
      <w:hyperlink r:id="rId14" w:history="1"/>
      <w:r w:rsidRPr="00EB3226">
        <w:rPr>
          <w:color w:val="000000"/>
          <w:szCs w:val="28"/>
        </w:rPr>
        <w:t xml:space="preserve"> </w:t>
      </w:r>
      <w:r w:rsidR="00C107F3">
        <w:rPr>
          <w:color w:val="000000"/>
          <w:szCs w:val="28"/>
        </w:rPr>
        <w:t>1</w:t>
      </w:r>
      <w:r w:rsidRPr="00EB3226">
        <w:rPr>
          <w:color w:val="000000"/>
          <w:szCs w:val="28"/>
        </w:rPr>
        <w:t xml:space="preserve">-РЗ, от </w:t>
      </w:r>
      <w:r w:rsidR="00C107F3">
        <w:rPr>
          <w:color w:val="000000"/>
          <w:szCs w:val="28"/>
        </w:rPr>
        <w:t>4 июля</w:t>
      </w:r>
      <w:r w:rsidR="00E1000D">
        <w:rPr>
          <w:color w:val="000000"/>
          <w:szCs w:val="28"/>
        </w:rPr>
        <w:t xml:space="preserve"> </w:t>
      </w:r>
      <w:r w:rsidRPr="00EB3226">
        <w:rPr>
          <w:color w:val="000000"/>
          <w:szCs w:val="28"/>
        </w:rPr>
        <w:t xml:space="preserve"> 20</w:t>
      </w:r>
      <w:r w:rsidR="008271F5" w:rsidRPr="00EB3226">
        <w:rPr>
          <w:color w:val="000000"/>
          <w:szCs w:val="28"/>
        </w:rPr>
        <w:t>2</w:t>
      </w:r>
      <w:r w:rsidR="00C107F3">
        <w:rPr>
          <w:color w:val="000000"/>
          <w:szCs w:val="28"/>
        </w:rPr>
        <w:t>2</w:t>
      </w:r>
      <w:r w:rsidR="008271F5" w:rsidRPr="00EB3226">
        <w:rPr>
          <w:color w:val="000000"/>
          <w:szCs w:val="28"/>
        </w:rPr>
        <w:t xml:space="preserve"> </w:t>
      </w:r>
      <w:r w:rsidRPr="00EB3226">
        <w:rPr>
          <w:color w:val="000000"/>
          <w:szCs w:val="28"/>
        </w:rPr>
        <w:t xml:space="preserve">года № </w:t>
      </w:r>
      <w:r w:rsidR="00C107F3">
        <w:rPr>
          <w:color w:val="000000"/>
          <w:szCs w:val="28"/>
        </w:rPr>
        <w:t>44</w:t>
      </w:r>
      <w:r w:rsidRPr="00EB3226">
        <w:rPr>
          <w:color w:val="000000"/>
          <w:szCs w:val="28"/>
        </w:rPr>
        <w:t xml:space="preserve">-РЗ, от </w:t>
      </w:r>
      <w:r w:rsidR="00C107F3">
        <w:rPr>
          <w:color w:val="000000"/>
          <w:szCs w:val="28"/>
        </w:rPr>
        <w:t>1 ноября 2022 года № 69-РЗ и от 20</w:t>
      </w:r>
      <w:r w:rsidRPr="00EB3226">
        <w:rPr>
          <w:color w:val="000000"/>
          <w:szCs w:val="28"/>
        </w:rPr>
        <w:t xml:space="preserve"> декабря 20</w:t>
      </w:r>
      <w:r w:rsidR="008271F5" w:rsidRPr="00EB3226">
        <w:rPr>
          <w:color w:val="000000"/>
          <w:szCs w:val="28"/>
        </w:rPr>
        <w:t>2</w:t>
      </w:r>
      <w:r w:rsidR="00C107F3">
        <w:rPr>
          <w:color w:val="000000"/>
          <w:szCs w:val="28"/>
        </w:rPr>
        <w:t>2</w:t>
      </w:r>
      <w:r w:rsidRPr="00EB3226">
        <w:rPr>
          <w:color w:val="000000"/>
          <w:szCs w:val="28"/>
        </w:rPr>
        <w:t xml:space="preserve"> года № </w:t>
      </w:r>
      <w:r w:rsidR="00C107F3">
        <w:rPr>
          <w:color w:val="000000"/>
          <w:szCs w:val="28"/>
        </w:rPr>
        <w:t>92</w:t>
      </w:r>
      <w:r w:rsidRPr="00EB3226">
        <w:rPr>
          <w:color w:val="000000"/>
          <w:szCs w:val="28"/>
        </w:rPr>
        <w:t xml:space="preserve">-РЗ. Объем уточненных плановых назначений в соответствии со сводной бюджетной росписью республиканского бюджета Республики Алтай составил </w:t>
      </w:r>
      <w:r w:rsidR="00C107F3">
        <w:rPr>
          <w:color w:val="000000"/>
          <w:szCs w:val="28"/>
        </w:rPr>
        <w:t>33 629 157,3</w:t>
      </w:r>
      <w:r w:rsidRPr="00EB3226">
        <w:rPr>
          <w:szCs w:val="28"/>
        </w:rPr>
        <w:t xml:space="preserve"> </w:t>
      </w:r>
      <w:r w:rsidRPr="00EB3226">
        <w:rPr>
          <w:color w:val="000000"/>
          <w:szCs w:val="28"/>
        </w:rPr>
        <w:t>тыс. рублей.</w:t>
      </w:r>
      <w:r w:rsidR="00E1000D">
        <w:rPr>
          <w:color w:val="000000"/>
          <w:szCs w:val="28"/>
        </w:rPr>
        <w:t xml:space="preserve"> Отклонение от утвержденных </w:t>
      </w:r>
      <w:r w:rsidR="00E1000D" w:rsidRPr="00EB3226">
        <w:rPr>
          <w:color w:val="000000"/>
          <w:szCs w:val="28"/>
        </w:rPr>
        <w:t xml:space="preserve">плановых </w:t>
      </w:r>
      <w:r w:rsidR="00E1000D" w:rsidRPr="00F84E23">
        <w:rPr>
          <w:szCs w:val="28"/>
        </w:rPr>
        <w:t xml:space="preserve">назначений составляет </w:t>
      </w:r>
      <w:r w:rsidR="00C107F3">
        <w:rPr>
          <w:szCs w:val="28"/>
        </w:rPr>
        <w:t>289354,8</w:t>
      </w:r>
      <w:r w:rsidR="00F4395F" w:rsidRPr="00F84E23">
        <w:rPr>
          <w:szCs w:val="28"/>
        </w:rPr>
        <w:t xml:space="preserve"> тыс.</w:t>
      </w:r>
      <w:r w:rsidR="00BC00F6">
        <w:rPr>
          <w:szCs w:val="28"/>
        </w:rPr>
        <w:t xml:space="preserve"> </w:t>
      </w:r>
      <w:r w:rsidR="00F4395F" w:rsidRPr="00F84E23">
        <w:rPr>
          <w:szCs w:val="28"/>
        </w:rPr>
        <w:t>рублей</w:t>
      </w:r>
      <w:r w:rsidR="00F84E23">
        <w:rPr>
          <w:szCs w:val="28"/>
        </w:rPr>
        <w:t xml:space="preserve">, в том числе: </w:t>
      </w:r>
    </w:p>
    <w:p w:rsidR="00554A16" w:rsidRDefault="00526156" w:rsidP="00526156">
      <w:pPr>
        <w:ind w:firstLine="720"/>
        <w:jc w:val="both"/>
        <w:rPr>
          <w:color w:val="FF0000"/>
          <w:szCs w:val="28"/>
        </w:rPr>
      </w:pPr>
      <w:r>
        <w:rPr>
          <w:szCs w:val="28"/>
        </w:rPr>
        <w:t xml:space="preserve"> </w:t>
      </w:r>
      <w:r w:rsidR="00122611">
        <w:rPr>
          <w:szCs w:val="28"/>
        </w:rPr>
        <w:t>1 364,4</w:t>
      </w:r>
      <w:r w:rsidR="00F84E23">
        <w:rPr>
          <w:szCs w:val="28"/>
        </w:rPr>
        <w:t xml:space="preserve"> тыс. рублей</w:t>
      </w:r>
      <w:r w:rsidR="00122611">
        <w:rPr>
          <w:szCs w:val="28"/>
        </w:rPr>
        <w:t xml:space="preserve"> с предоставлением субсидий из федерального бюджета на обеспечение комплексного развития сельских территорий</w:t>
      </w:r>
      <w:r w:rsidR="00F84E23">
        <w:rPr>
          <w:szCs w:val="28"/>
        </w:rPr>
        <w:t>;</w:t>
      </w:r>
    </w:p>
    <w:p w:rsidR="00F84E23" w:rsidRPr="002E73EB" w:rsidRDefault="00122611" w:rsidP="00526156">
      <w:pPr>
        <w:autoSpaceDE w:val="0"/>
        <w:autoSpaceDN w:val="0"/>
        <w:adjustRightInd w:val="0"/>
        <w:ind w:firstLine="720"/>
        <w:jc w:val="both"/>
        <w:rPr>
          <w:szCs w:val="28"/>
        </w:rPr>
      </w:pPr>
      <w:r>
        <w:rPr>
          <w:szCs w:val="28"/>
        </w:rPr>
        <w:t xml:space="preserve"> 27 </w:t>
      </w:r>
      <w:r w:rsidR="00D11C85">
        <w:rPr>
          <w:szCs w:val="28"/>
        </w:rPr>
        <w:t>978,2</w:t>
      </w:r>
      <w:r w:rsidR="00F84E23" w:rsidRPr="00F84E23">
        <w:rPr>
          <w:szCs w:val="28"/>
        </w:rPr>
        <w:t xml:space="preserve"> тыс.</w:t>
      </w:r>
      <w:r w:rsidR="00F84E23">
        <w:rPr>
          <w:szCs w:val="28"/>
        </w:rPr>
        <w:t xml:space="preserve"> </w:t>
      </w:r>
      <w:r w:rsidR="00F84E23" w:rsidRPr="00F84E23">
        <w:rPr>
          <w:szCs w:val="28"/>
        </w:rPr>
        <w:t>рублей</w:t>
      </w:r>
      <w:r w:rsidR="00A21E59">
        <w:rPr>
          <w:szCs w:val="28"/>
        </w:rPr>
        <w:t xml:space="preserve"> </w:t>
      </w:r>
      <w:r w:rsidR="000E4313">
        <w:rPr>
          <w:szCs w:val="28"/>
        </w:rPr>
        <w:t xml:space="preserve">с предоставлением субсидий из федерального бюджета за счет средств резервного фонда Правительства Российской Федерации по распоряжению  Правительства Российской Федерации от 16 декабря 2022 года № 3970-р, и </w:t>
      </w:r>
      <w:r w:rsidR="00A21E59">
        <w:rPr>
          <w:szCs w:val="28"/>
        </w:rPr>
        <w:t xml:space="preserve"> заключением </w:t>
      </w:r>
      <w:r w:rsidR="00F73E8D" w:rsidRPr="00F73E8D">
        <w:rPr>
          <w:szCs w:val="28"/>
        </w:rPr>
        <w:t>Дополнительно</w:t>
      </w:r>
      <w:r w:rsidR="00F73E8D">
        <w:rPr>
          <w:szCs w:val="28"/>
        </w:rPr>
        <w:t>го соглашения</w:t>
      </w:r>
      <w:r w:rsidR="000E4313">
        <w:rPr>
          <w:szCs w:val="28"/>
        </w:rPr>
        <w:t xml:space="preserve"> от 18 декабря  2022 г. № 139-17-2020-026/11</w:t>
      </w:r>
      <w:r w:rsidR="00F84E23" w:rsidRPr="002E73EB">
        <w:rPr>
          <w:szCs w:val="28"/>
        </w:rPr>
        <w:t>;</w:t>
      </w:r>
    </w:p>
    <w:p w:rsidR="00F84E23" w:rsidRDefault="00F84E23" w:rsidP="00F84E23">
      <w:pPr>
        <w:ind w:firstLine="720"/>
        <w:jc w:val="both"/>
        <w:rPr>
          <w:color w:val="FF0000"/>
          <w:szCs w:val="28"/>
        </w:rPr>
      </w:pPr>
      <w:r w:rsidRPr="00F84E23">
        <w:rPr>
          <w:szCs w:val="28"/>
        </w:rPr>
        <w:t>-</w:t>
      </w:r>
      <w:r w:rsidR="00630FB4">
        <w:rPr>
          <w:szCs w:val="28"/>
        </w:rPr>
        <w:t>656,0</w:t>
      </w:r>
      <w:r w:rsidRPr="00F84E23">
        <w:rPr>
          <w:szCs w:val="28"/>
        </w:rPr>
        <w:t xml:space="preserve"> тыс.</w:t>
      </w:r>
      <w:r>
        <w:rPr>
          <w:szCs w:val="28"/>
        </w:rPr>
        <w:t xml:space="preserve"> </w:t>
      </w:r>
      <w:r w:rsidRPr="00F84E23">
        <w:rPr>
          <w:szCs w:val="28"/>
        </w:rPr>
        <w:t>рублей</w:t>
      </w:r>
      <w:r w:rsidR="00122611">
        <w:rPr>
          <w:szCs w:val="28"/>
        </w:rPr>
        <w:t xml:space="preserve"> с уменьшением размера иного межбюджетного трансферта из федерального бюджета на осуществление выплат</w:t>
      </w:r>
      <w:r w:rsidR="00630FB4">
        <w:rPr>
          <w:szCs w:val="28"/>
        </w:rPr>
        <w:t>, установленных пунктом 1 Указа Президента Российской Федерации от 27 августа 2022 года №586  «О выплатах гражданам Донецкой Народной Республики, Луганской Народной Республики, Украины и лицам без гражданства, вынуждено покинувшим территории</w:t>
      </w:r>
      <w:r w:rsidR="00630FB4" w:rsidRPr="00630FB4">
        <w:rPr>
          <w:szCs w:val="28"/>
        </w:rPr>
        <w:t xml:space="preserve"> </w:t>
      </w:r>
      <w:r w:rsidR="00630FB4">
        <w:rPr>
          <w:szCs w:val="28"/>
        </w:rPr>
        <w:t>Донецкой Народной Республики, Луганской Народной Республики, Украины и прибывшим на территорию Российской Федерации</w:t>
      </w:r>
      <w:r w:rsidRPr="00F84E23">
        <w:rPr>
          <w:szCs w:val="28"/>
        </w:rPr>
        <w:t>;</w:t>
      </w:r>
    </w:p>
    <w:p w:rsidR="00630FB4" w:rsidRPr="00630FB4" w:rsidRDefault="00630FB4" w:rsidP="00F84E23">
      <w:pPr>
        <w:ind w:firstLine="720"/>
        <w:jc w:val="both"/>
        <w:rPr>
          <w:szCs w:val="28"/>
        </w:rPr>
      </w:pPr>
      <w:r w:rsidRPr="00630FB4">
        <w:rPr>
          <w:szCs w:val="28"/>
        </w:rPr>
        <w:t>66,</w:t>
      </w:r>
      <w:r w:rsidR="00FA4910">
        <w:rPr>
          <w:szCs w:val="28"/>
        </w:rPr>
        <w:t>9</w:t>
      </w:r>
      <w:r w:rsidRPr="00630FB4">
        <w:rPr>
          <w:szCs w:val="28"/>
        </w:rPr>
        <w:t xml:space="preserve"> тыс.</w:t>
      </w:r>
      <w:r w:rsidR="00D11C85">
        <w:rPr>
          <w:szCs w:val="28"/>
        </w:rPr>
        <w:t xml:space="preserve"> </w:t>
      </w:r>
      <w:r w:rsidRPr="00630FB4">
        <w:rPr>
          <w:szCs w:val="28"/>
        </w:rPr>
        <w:t>рублей с увеличением размера субвенций из федерального бюджета на осуществление ежегодной денежной выплаты лицам, награжденным нагрудным знаком «Почетный донор России» и обеспечением жильем отдельных категорий граждан, установленных Федеральными законами «О ветеранах»</w:t>
      </w:r>
      <w:r w:rsidR="00D11C85">
        <w:rPr>
          <w:szCs w:val="28"/>
        </w:rPr>
        <w:t xml:space="preserve"> </w:t>
      </w:r>
      <w:r w:rsidRPr="00630FB4">
        <w:rPr>
          <w:szCs w:val="28"/>
        </w:rPr>
        <w:t xml:space="preserve">и «О социальной защите инвалидов в Российской Федерации»; </w:t>
      </w:r>
    </w:p>
    <w:p w:rsidR="00F84E23" w:rsidRDefault="000E4313" w:rsidP="00F84E23">
      <w:pPr>
        <w:ind w:firstLine="720"/>
        <w:jc w:val="both"/>
        <w:rPr>
          <w:color w:val="FF0000"/>
          <w:szCs w:val="28"/>
        </w:rPr>
      </w:pPr>
      <w:r>
        <w:rPr>
          <w:szCs w:val="28"/>
        </w:rPr>
        <w:t>23 965,7</w:t>
      </w:r>
      <w:r w:rsidRPr="00F84E23">
        <w:rPr>
          <w:szCs w:val="28"/>
        </w:rPr>
        <w:t xml:space="preserve"> </w:t>
      </w:r>
      <w:r w:rsidR="00F84E23" w:rsidRPr="00F84E23">
        <w:rPr>
          <w:szCs w:val="28"/>
        </w:rPr>
        <w:t>тыс.</w:t>
      </w:r>
      <w:r w:rsidR="00F84E23">
        <w:rPr>
          <w:szCs w:val="28"/>
        </w:rPr>
        <w:t xml:space="preserve"> </w:t>
      </w:r>
      <w:r w:rsidR="00F84E23" w:rsidRPr="00F84E23">
        <w:rPr>
          <w:szCs w:val="28"/>
        </w:rPr>
        <w:t xml:space="preserve">рублей </w:t>
      </w:r>
      <w:r w:rsidRPr="00630FB4">
        <w:rPr>
          <w:szCs w:val="28"/>
        </w:rPr>
        <w:t xml:space="preserve">увеличением размера субвенций из федерального бюджета </w:t>
      </w:r>
      <w:r>
        <w:rPr>
          <w:szCs w:val="28"/>
        </w:rPr>
        <w:t>в области лесных отношений в части осуществления мероприятий по тушению лесных пожаров</w:t>
      </w:r>
      <w:r w:rsidR="00F84E23" w:rsidRPr="00F84E23">
        <w:rPr>
          <w:szCs w:val="28"/>
        </w:rPr>
        <w:t>;</w:t>
      </w:r>
    </w:p>
    <w:p w:rsidR="000E4313" w:rsidRDefault="000E4313" w:rsidP="000E4313">
      <w:pPr>
        <w:shd w:val="clear" w:color="auto" w:fill="FFFFFF"/>
        <w:spacing w:line="276" w:lineRule="auto"/>
        <w:ind w:firstLine="709"/>
        <w:jc w:val="both"/>
        <w:rPr>
          <w:color w:val="000000"/>
          <w:szCs w:val="28"/>
          <w:shd w:val="clear" w:color="auto" w:fill="FFFFFF"/>
        </w:rPr>
      </w:pPr>
      <w:r>
        <w:rPr>
          <w:szCs w:val="28"/>
        </w:rPr>
        <w:t>236 635,6</w:t>
      </w:r>
      <w:r w:rsidRPr="00F84E23">
        <w:rPr>
          <w:szCs w:val="28"/>
        </w:rPr>
        <w:t xml:space="preserve"> </w:t>
      </w:r>
      <w:r w:rsidR="00F84E23" w:rsidRPr="00F84E23">
        <w:rPr>
          <w:szCs w:val="28"/>
        </w:rPr>
        <w:t>тыс.</w:t>
      </w:r>
      <w:r w:rsidR="00F84E23">
        <w:rPr>
          <w:szCs w:val="28"/>
        </w:rPr>
        <w:t xml:space="preserve"> </w:t>
      </w:r>
      <w:r w:rsidR="00F84E23" w:rsidRPr="00F84E23">
        <w:rPr>
          <w:szCs w:val="28"/>
        </w:rPr>
        <w:t>рублей</w:t>
      </w:r>
      <w:r w:rsidR="007511E0">
        <w:rPr>
          <w:szCs w:val="28"/>
        </w:rPr>
        <w:t xml:space="preserve"> </w:t>
      </w:r>
      <w:r w:rsidR="007511E0">
        <w:rPr>
          <w:color w:val="000000"/>
          <w:szCs w:val="28"/>
          <w:shd w:val="clear" w:color="auto" w:fill="FFFFFF"/>
        </w:rPr>
        <w:t xml:space="preserve">с </w:t>
      </w:r>
      <w:r>
        <w:rPr>
          <w:color w:val="000000"/>
          <w:szCs w:val="28"/>
          <w:shd w:val="clear" w:color="auto" w:fill="FFFFFF"/>
        </w:rPr>
        <w:t xml:space="preserve">предоставлением субсидий из федерального бюджета </w:t>
      </w:r>
      <w:r w:rsidR="007511E0">
        <w:rPr>
          <w:color w:val="000000"/>
          <w:szCs w:val="28"/>
          <w:shd w:val="clear" w:color="auto" w:fill="FFFFFF"/>
        </w:rPr>
        <w:t xml:space="preserve">на </w:t>
      </w:r>
      <w:r w:rsidR="007511E0" w:rsidRPr="00F63269">
        <w:rPr>
          <w:color w:val="000000"/>
          <w:szCs w:val="28"/>
          <w:shd w:val="clear" w:color="auto" w:fill="FFFFFF"/>
        </w:rPr>
        <w:t>компенсацию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w:t>
      </w:r>
      <w:r w:rsidR="000E755A">
        <w:rPr>
          <w:color w:val="000000"/>
          <w:szCs w:val="28"/>
          <w:shd w:val="clear" w:color="auto" w:fill="FFFFFF"/>
        </w:rPr>
        <w:t xml:space="preserve"> передаче электрической энергии </w:t>
      </w:r>
      <w:r w:rsidR="007511E0" w:rsidRPr="00F63269">
        <w:rPr>
          <w:color w:val="000000"/>
          <w:szCs w:val="28"/>
          <w:shd w:val="clear" w:color="auto" w:fill="FFFFFF"/>
        </w:rPr>
        <w:t>ниже эк</w:t>
      </w:r>
      <w:r w:rsidR="007511E0">
        <w:rPr>
          <w:color w:val="000000"/>
          <w:szCs w:val="28"/>
          <w:shd w:val="clear" w:color="auto" w:fill="FFFFFF"/>
        </w:rPr>
        <w:t>ономически обоснованного уровня</w:t>
      </w:r>
      <w:r>
        <w:rPr>
          <w:color w:val="000000"/>
          <w:szCs w:val="28"/>
          <w:shd w:val="clear" w:color="auto" w:fill="FFFFFF"/>
        </w:rPr>
        <w:t xml:space="preserve"> единых (котловых) тарифов.</w:t>
      </w:r>
    </w:p>
    <w:p w:rsidR="00554A16" w:rsidRPr="00EB3226" w:rsidRDefault="00554A16" w:rsidP="00EB3226">
      <w:pPr>
        <w:tabs>
          <w:tab w:val="center" w:pos="4153"/>
          <w:tab w:val="right" w:pos="8306"/>
        </w:tabs>
        <w:ind w:firstLine="720"/>
        <w:jc w:val="both"/>
        <w:rPr>
          <w:color w:val="000000"/>
          <w:szCs w:val="28"/>
        </w:rPr>
      </w:pPr>
      <w:r w:rsidRPr="00EB3226">
        <w:rPr>
          <w:color w:val="000000"/>
          <w:szCs w:val="28"/>
        </w:rPr>
        <w:t>Кассовое исполнение</w:t>
      </w:r>
      <w:r w:rsidR="00E1000D" w:rsidRPr="00E1000D">
        <w:rPr>
          <w:color w:val="000000"/>
          <w:szCs w:val="28"/>
        </w:rPr>
        <w:t xml:space="preserve"> </w:t>
      </w:r>
      <w:r w:rsidR="00E1000D" w:rsidRPr="00EB3226">
        <w:rPr>
          <w:color w:val="000000"/>
          <w:szCs w:val="28"/>
        </w:rPr>
        <w:t>расходов республиканского бюджета</w:t>
      </w:r>
      <w:r w:rsidR="00E1000D">
        <w:rPr>
          <w:color w:val="000000"/>
          <w:szCs w:val="28"/>
        </w:rPr>
        <w:t xml:space="preserve"> </w:t>
      </w:r>
      <w:r w:rsidRPr="00EB3226">
        <w:rPr>
          <w:color w:val="000000"/>
          <w:szCs w:val="28"/>
        </w:rPr>
        <w:t>за 20</w:t>
      </w:r>
      <w:r w:rsidR="00DF7CA3" w:rsidRPr="00EB3226">
        <w:rPr>
          <w:color w:val="000000"/>
          <w:szCs w:val="28"/>
        </w:rPr>
        <w:t>2</w:t>
      </w:r>
      <w:r w:rsidR="00E534A9">
        <w:rPr>
          <w:color w:val="000000"/>
          <w:szCs w:val="28"/>
        </w:rPr>
        <w:t>2</w:t>
      </w:r>
      <w:r w:rsidRPr="00EB3226">
        <w:rPr>
          <w:color w:val="000000"/>
          <w:szCs w:val="28"/>
        </w:rPr>
        <w:t xml:space="preserve"> год составило </w:t>
      </w:r>
      <w:r w:rsidR="00E534A9">
        <w:rPr>
          <w:color w:val="000000"/>
          <w:szCs w:val="28"/>
        </w:rPr>
        <w:t>32 643 615,7</w:t>
      </w:r>
      <w:r w:rsidRPr="00EB3226">
        <w:rPr>
          <w:color w:val="000000"/>
          <w:szCs w:val="28"/>
        </w:rPr>
        <w:t xml:space="preserve"> тыс. рублей</w:t>
      </w:r>
      <w:r w:rsidR="00E1000D">
        <w:rPr>
          <w:color w:val="000000"/>
          <w:szCs w:val="28"/>
        </w:rPr>
        <w:t xml:space="preserve">, что составляет </w:t>
      </w:r>
      <w:r w:rsidR="00E534A9">
        <w:rPr>
          <w:color w:val="000000"/>
          <w:szCs w:val="28"/>
        </w:rPr>
        <w:t>97,1</w:t>
      </w:r>
      <w:r w:rsidR="00E1000D">
        <w:rPr>
          <w:color w:val="000000"/>
          <w:szCs w:val="28"/>
        </w:rPr>
        <w:t xml:space="preserve">% от уточненных </w:t>
      </w:r>
      <w:r w:rsidR="00E1000D" w:rsidRPr="00EB3226">
        <w:rPr>
          <w:color w:val="000000"/>
          <w:szCs w:val="28"/>
        </w:rPr>
        <w:t>плановых на</w:t>
      </w:r>
      <w:r w:rsidR="00E1000D">
        <w:rPr>
          <w:color w:val="000000"/>
          <w:szCs w:val="28"/>
        </w:rPr>
        <w:t>значений.</w:t>
      </w:r>
    </w:p>
    <w:p w:rsidR="00665878" w:rsidRPr="00EB3226" w:rsidRDefault="00665878" w:rsidP="00665878">
      <w:pPr>
        <w:ind w:firstLine="720"/>
        <w:jc w:val="both"/>
        <w:rPr>
          <w:iCs/>
          <w:szCs w:val="28"/>
        </w:rPr>
      </w:pPr>
      <w:r w:rsidRPr="00EB3226">
        <w:rPr>
          <w:iCs/>
          <w:szCs w:val="28"/>
        </w:rPr>
        <w:lastRenderedPageBreak/>
        <w:t>Исполнение республиканского бюджета Республики Алтай в 202</w:t>
      </w:r>
      <w:r w:rsidR="00E534A9">
        <w:rPr>
          <w:iCs/>
          <w:szCs w:val="28"/>
        </w:rPr>
        <w:t>2</w:t>
      </w:r>
      <w:r w:rsidRPr="00EB3226">
        <w:rPr>
          <w:iCs/>
          <w:szCs w:val="28"/>
        </w:rPr>
        <w:t xml:space="preserve"> году по расходам осуществлялось в рамках реализации 1</w:t>
      </w:r>
      <w:r w:rsidR="00E534A9">
        <w:rPr>
          <w:iCs/>
          <w:szCs w:val="28"/>
        </w:rPr>
        <w:t>8</w:t>
      </w:r>
      <w:r w:rsidRPr="00EB3226">
        <w:rPr>
          <w:iCs/>
          <w:szCs w:val="28"/>
        </w:rPr>
        <w:t xml:space="preserve"> Государственных Программ Республики Алтай, на долю которых  приходится 9</w:t>
      </w:r>
      <w:r w:rsidR="00E534A9">
        <w:rPr>
          <w:iCs/>
          <w:szCs w:val="28"/>
        </w:rPr>
        <w:t>7,8</w:t>
      </w:r>
      <w:r w:rsidRPr="00EB3226">
        <w:rPr>
          <w:iCs/>
          <w:szCs w:val="28"/>
        </w:rPr>
        <w:t xml:space="preserve"> %, включая меры направленные на своевременную и в полном объеме выплату заработной платы работникам бюджетной сферы и выплат социального характера, таких как пособия гражданам, имеющих детей, пособия по опеке и попечительству, </w:t>
      </w:r>
      <w:r w:rsidR="00E534A9">
        <w:rPr>
          <w:iCs/>
          <w:szCs w:val="28"/>
        </w:rPr>
        <w:t xml:space="preserve">единовременные выплаты участникам специальной военной операции и их семьям, </w:t>
      </w:r>
      <w:r w:rsidRPr="00EB3226">
        <w:rPr>
          <w:iCs/>
          <w:szCs w:val="28"/>
        </w:rPr>
        <w:t xml:space="preserve">ежемесячные денежные выплаты ветеранам труда, труженикам тыла, реабилитированным гражданам и инвалидам и др., , на реализацию региональных проектов, на обеспечение жильем детей-сирот, граждан проживающих в сельской местности и переселение граждан из аварийного жилищного фонда, поддержку </w:t>
      </w:r>
      <w:proofErr w:type="spellStart"/>
      <w:r w:rsidRPr="00EB3226">
        <w:rPr>
          <w:iCs/>
          <w:szCs w:val="28"/>
        </w:rPr>
        <w:t>сельхозтоваропроизводителей</w:t>
      </w:r>
      <w:proofErr w:type="spellEnd"/>
      <w:r w:rsidRPr="00EB3226">
        <w:rPr>
          <w:iCs/>
          <w:szCs w:val="28"/>
        </w:rPr>
        <w:t>, субъектов малого и среднего  предпринимательства, дальнейшее развитие инвестиционной составляющей.</w:t>
      </w:r>
    </w:p>
    <w:p w:rsidR="00665878" w:rsidRDefault="00665878" w:rsidP="00665878">
      <w:pPr>
        <w:autoSpaceDE w:val="0"/>
        <w:autoSpaceDN w:val="0"/>
        <w:adjustRightInd w:val="0"/>
        <w:ind w:firstLine="567"/>
        <w:jc w:val="both"/>
        <w:rPr>
          <w:iCs/>
          <w:szCs w:val="28"/>
        </w:rPr>
      </w:pPr>
      <w:r w:rsidRPr="00EB3226">
        <w:rPr>
          <w:bCs/>
          <w:color w:val="000000"/>
          <w:szCs w:val="28"/>
        </w:rPr>
        <w:t>Кассовые расходы республиканского бюджета осуществлялись в пределах лимитов бюджетных обязательств и предельных объемов финансирования, доведенных на их лицевые счета, открытые в Управлении федерального Казначейства по Республике Алтай с учетом показателей кассового плана.</w:t>
      </w:r>
    </w:p>
    <w:p w:rsidR="00B831C6" w:rsidRPr="00834897" w:rsidRDefault="00554A16" w:rsidP="00954C8F">
      <w:pPr>
        <w:autoSpaceDE w:val="0"/>
        <w:autoSpaceDN w:val="0"/>
        <w:adjustRightInd w:val="0"/>
        <w:ind w:firstLine="567"/>
        <w:jc w:val="both"/>
        <w:rPr>
          <w:szCs w:val="28"/>
        </w:rPr>
      </w:pPr>
      <w:r w:rsidRPr="00EB3226">
        <w:rPr>
          <w:iCs/>
          <w:szCs w:val="28"/>
        </w:rPr>
        <w:t>Приоритетами республиканского бюджета Республики Алтай в 20</w:t>
      </w:r>
      <w:r w:rsidR="00DF7CA3" w:rsidRPr="00EB3226">
        <w:rPr>
          <w:iCs/>
          <w:szCs w:val="28"/>
        </w:rPr>
        <w:t>2</w:t>
      </w:r>
      <w:r w:rsidR="0006034E">
        <w:rPr>
          <w:iCs/>
          <w:szCs w:val="28"/>
        </w:rPr>
        <w:t>2</w:t>
      </w:r>
      <w:r w:rsidRPr="00EB3226">
        <w:rPr>
          <w:iCs/>
          <w:szCs w:val="28"/>
        </w:rPr>
        <w:t xml:space="preserve"> году </w:t>
      </w:r>
      <w:r w:rsidR="00DF7CA3" w:rsidRPr="00EB3226">
        <w:rPr>
          <w:iCs/>
          <w:szCs w:val="28"/>
        </w:rPr>
        <w:t xml:space="preserve">были мероприятия </w:t>
      </w:r>
      <w:r w:rsidR="00616EB9" w:rsidRPr="00EB3226">
        <w:rPr>
          <w:iCs/>
          <w:szCs w:val="28"/>
        </w:rPr>
        <w:t xml:space="preserve">по финансовому обеспечению </w:t>
      </w:r>
      <w:r w:rsidRPr="00EB3226">
        <w:rPr>
          <w:iCs/>
          <w:szCs w:val="28"/>
        </w:rPr>
        <w:t>к</w:t>
      </w:r>
      <w:r w:rsidRPr="00EB3226">
        <w:rPr>
          <w:color w:val="000000"/>
          <w:szCs w:val="28"/>
        </w:rPr>
        <w:t>омплекс</w:t>
      </w:r>
      <w:r w:rsidR="00616EB9" w:rsidRPr="00EB3226">
        <w:rPr>
          <w:color w:val="000000"/>
          <w:szCs w:val="28"/>
        </w:rPr>
        <w:t>а</w:t>
      </w:r>
      <w:r w:rsidRPr="00EB3226">
        <w:rPr>
          <w:color w:val="000000"/>
          <w:szCs w:val="28"/>
        </w:rPr>
        <w:t xml:space="preserve"> задач, определенных </w:t>
      </w:r>
      <w:r w:rsidRPr="00EB3226">
        <w:rPr>
          <w:szCs w:val="28"/>
        </w:rPr>
        <w:t>Указом Президента Российской Федерации от 7 мая 2018 года № 204 «</w:t>
      </w:r>
      <w:r w:rsidRPr="00EB3226">
        <w:rPr>
          <w:rFonts w:eastAsiaTheme="minorHAnsi"/>
          <w:szCs w:val="28"/>
          <w:lang w:eastAsia="en-US"/>
        </w:rPr>
        <w:t>О национальных целях и стратегических задачах развития Российской Федерации на период до 2024 года»</w:t>
      </w:r>
      <w:r w:rsidRPr="00EB3226">
        <w:rPr>
          <w:color w:val="000000"/>
          <w:szCs w:val="28"/>
        </w:rPr>
        <w:t xml:space="preserve">, </w:t>
      </w:r>
      <w:r w:rsidR="00B831C6" w:rsidRPr="00EB3226">
        <w:rPr>
          <w:color w:val="000000"/>
          <w:szCs w:val="28"/>
        </w:rPr>
        <w:t xml:space="preserve">Индивидуальной программы социально-экономического развития Республики Алтай на 2020 - 2024 годы, утвержденной Распоряжением Правительства РФ от 09.04.2020 г. № 937-р, выполнение публично –нормативных обязательств,  обеспечение минимального размера оплаты труда и </w:t>
      </w:r>
      <w:r w:rsidR="00B831C6" w:rsidRPr="00EB3226">
        <w:rPr>
          <w:rFonts w:eastAsia="Calibri"/>
          <w:szCs w:val="28"/>
          <w:lang w:eastAsia="en-US"/>
        </w:rPr>
        <w:t xml:space="preserve">достижение показателей, установленных Указами Президента Российской Федерации от 7 мая 2012 года №№ </w:t>
      </w:r>
      <w:hyperlink r:id="rId15" w:history="1">
        <w:r w:rsidR="00B831C6" w:rsidRPr="00EB3226">
          <w:rPr>
            <w:rFonts w:eastAsia="Calibri"/>
            <w:szCs w:val="28"/>
            <w:lang w:eastAsia="en-US"/>
          </w:rPr>
          <w:t>597</w:t>
        </w:r>
      </w:hyperlink>
      <w:r w:rsidR="00B831C6" w:rsidRPr="00EB3226">
        <w:rPr>
          <w:rFonts w:eastAsia="Calibri"/>
          <w:szCs w:val="28"/>
          <w:lang w:eastAsia="en-US"/>
        </w:rPr>
        <w:t xml:space="preserve">, </w:t>
      </w:r>
      <w:hyperlink r:id="rId16" w:history="1">
        <w:r w:rsidR="00B831C6" w:rsidRPr="00EB3226">
          <w:rPr>
            <w:rFonts w:eastAsia="Calibri"/>
            <w:szCs w:val="28"/>
            <w:lang w:eastAsia="en-US"/>
          </w:rPr>
          <w:t>599</w:t>
        </w:r>
      </w:hyperlink>
      <w:r w:rsidR="00B831C6" w:rsidRPr="00EB3226">
        <w:rPr>
          <w:rFonts w:eastAsia="Calibri"/>
          <w:szCs w:val="28"/>
          <w:lang w:eastAsia="en-US"/>
        </w:rPr>
        <w:t xml:space="preserve">, </w:t>
      </w:r>
      <w:r w:rsidR="00B831C6" w:rsidRPr="00834897">
        <w:rPr>
          <w:rFonts w:eastAsia="Calibri"/>
          <w:szCs w:val="28"/>
          <w:lang w:eastAsia="en-US"/>
        </w:rPr>
        <w:t>от 1 июня 2012 года №</w:t>
      </w:r>
      <w:r w:rsidR="00834897" w:rsidRPr="00834897">
        <w:rPr>
          <w:rFonts w:eastAsia="Calibri"/>
          <w:szCs w:val="28"/>
          <w:lang w:eastAsia="en-US"/>
        </w:rPr>
        <w:t xml:space="preserve"> №</w:t>
      </w:r>
      <w:hyperlink r:id="rId17" w:history="1">
        <w:r w:rsidR="00834897" w:rsidRPr="00834897">
          <w:rPr>
            <w:rFonts w:eastAsia="Calibri"/>
            <w:szCs w:val="28"/>
            <w:lang w:eastAsia="en-US"/>
          </w:rPr>
          <w:t>761</w:t>
        </w:r>
      </w:hyperlink>
      <w:r w:rsidR="00834897" w:rsidRPr="00834897">
        <w:rPr>
          <w:rFonts w:eastAsia="Calibri"/>
          <w:szCs w:val="28"/>
          <w:lang w:eastAsia="en-US"/>
        </w:rPr>
        <w:t xml:space="preserve">, от 28 декабря 2012 года </w:t>
      </w:r>
      <w:hyperlink r:id="rId18" w:history="1">
        <w:r w:rsidR="00834897" w:rsidRPr="00834897">
          <w:rPr>
            <w:rFonts w:eastAsia="Calibri"/>
            <w:szCs w:val="28"/>
            <w:lang w:eastAsia="en-US"/>
          </w:rPr>
          <w:t>№</w:t>
        </w:r>
        <w:r w:rsidR="00662D58">
          <w:rPr>
            <w:rFonts w:eastAsia="Calibri"/>
            <w:szCs w:val="28"/>
            <w:lang w:eastAsia="en-US"/>
          </w:rPr>
          <w:t xml:space="preserve"> </w:t>
        </w:r>
        <w:r w:rsidR="00834897" w:rsidRPr="00834897">
          <w:rPr>
            <w:rFonts w:eastAsia="Calibri"/>
            <w:szCs w:val="28"/>
            <w:lang w:eastAsia="en-US"/>
          </w:rPr>
          <w:t>1688</w:t>
        </w:r>
      </w:hyperlink>
      <w:r w:rsidR="00B831C6" w:rsidRPr="00834897">
        <w:rPr>
          <w:szCs w:val="28"/>
        </w:rPr>
        <w:t xml:space="preserve"> </w:t>
      </w:r>
    </w:p>
    <w:p w:rsidR="00665878" w:rsidRDefault="00665878" w:rsidP="00B831C6">
      <w:pPr>
        <w:ind w:firstLine="567"/>
        <w:jc w:val="both"/>
        <w:rPr>
          <w:szCs w:val="28"/>
        </w:rPr>
      </w:pPr>
      <w:r w:rsidRPr="00EB3226">
        <w:rPr>
          <w:szCs w:val="28"/>
        </w:rPr>
        <w:t>В 202</w:t>
      </w:r>
      <w:r w:rsidR="00954C8F">
        <w:rPr>
          <w:szCs w:val="28"/>
        </w:rPr>
        <w:t>2</w:t>
      </w:r>
      <w:r w:rsidRPr="00EB3226">
        <w:rPr>
          <w:szCs w:val="28"/>
        </w:rPr>
        <w:t xml:space="preserve"> году реализовывались </w:t>
      </w:r>
      <w:r w:rsidR="0042370C">
        <w:rPr>
          <w:szCs w:val="28"/>
        </w:rPr>
        <w:t>4</w:t>
      </w:r>
      <w:r w:rsidR="00E844E0">
        <w:rPr>
          <w:szCs w:val="28"/>
        </w:rPr>
        <w:t>5</w:t>
      </w:r>
      <w:r w:rsidRPr="00EB3226">
        <w:rPr>
          <w:szCs w:val="28"/>
        </w:rPr>
        <w:t xml:space="preserve"> региональных проект</w:t>
      </w:r>
      <w:r>
        <w:rPr>
          <w:szCs w:val="28"/>
        </w:rPr>
        <w:t>а</w:t>
      </w:r>
      <w:r w:rsidRPr="00EB3226">
        <w:rPr>
          <w:szCs w:val="28"/>
        </w:rPr>
        <w:t xml:space="preserve"> в рамках </w:t>
      </w:r>
      <w:r w:rsidR="00C37D1F">
        <w:rPr>
          <w:szCs w:val="28"/>
        </w:rPr>
        <w:br/>
      </w:r>
      <w:r w:rsidRPr="00EB3226">
        <w:rPr>
          <w:szCs w:val="28"/>
        </w:rPr>
        <w:t>1</w:t>
      </w:r>
      <w:r w:rsidR="0042370C">
        <w:rPr>
          <w:szCs w:val="28"/>
        </w:rPr>
        <w:t>2</w:t>
      </w:r>
      <w:r w:rsidRPr="00EB3226">
        <w:rPr>
          <w:szCs w:val="28"/>
        </w:rPr>
        <w:t xml:space="preserve"> национальных проектов</w:t>
      </w:r>
      <w:r>
        <w:rPr>
          <w:szCs w:val="28"/>
        </w:rPr>
        <w:t>.</w:t>
      </w:r>
    </w:p>
    <w:p w:rsidR="00B831C6" w:rsidRDefault="00B831C6" w:rsidP="00B831C6">
      <w:pPr>
        <w:ind w:firstLine="567"/>
        <w:jc w:val="both"/>
        <w:rPr>
          <w:szCs w:val="28"/>
        </w:rPr>
      </w:pPr>
      <w:r>
        <w:rPr>
          <w:szCs w:val="28"/>
        </w:rPr>
        <w:t xml:space="preserve">Расходы республиканского бюджета на реализацию национальных проектов предусмотрены в сумме </w:t>
      </w:r>
      <w:r w:rsidR="004A7602">
        <w:rPr>
          <w:szCs w:val="28"/>
        </w:rPr>
        <w:t>9 420 725,4</w:t>
      </w:r>
      <w:r>
        <w:rPr>
          <w:szCs w:val="28"/>
        </w:rPr>
        <w:t xml:space="preserve"> тыс. рублей, в том числе средства федерального бюджета </w:t>
      </w:r>
      <w:r w:rsidR="004A7602">
        <w:rPr>
          <w:szCs w:val="28"/>
        </w:rPr>
        <w:t xml:space="preserve">6 019 765,2 </w:t>
      </w:r>
      <w:r>
        <w:rPr>
          <w:szCs w:val="28"/>
        </w:rPr>
        <w:t xml:space="preserve">тыс. рублей, кассовое исполнение составило </w:t>
      </w:r>
      <w:r w:rsidR="004A7602">
        <w:rPr>
          <w:szCs w:val="28"/>
        </w:rPr>
        <w:t>9 284 173,8</w:t>
      </w:r>
      <w:r w:rsidR="00BC00F6">
        <w:rPr>
          <w:szCs w:val="28"/>
        </w:rPr>
        <w:t xml:space="preserve"> </w:t>
      </w:r>
      <w:r>
        <w:rPr>
          <w:szCs w:val="28"/>
        </w:rPr>
        <w:t xml:space="preserve">тыс. рублей или </w:t>
      </w:r>
      <w:r w:rsidR="004A7602">
        <w:rPr>
          <w:szCs w:val="28"/>
        </w:rPr>
        <w:t>98,6</w:t>
      </w:r>
      <w:r>
        <w:rPr>
          <w:szCs w:val="28"/>
        </w:rPr>
        <w:t xml:space="preserve">%. Остатки сложились в связи с экономией по итогам торгов, нарушением сроков выполнения работ контрагентами, с расторжением контрактов и внесением их </w:t>
      </w:r>
      <w:r w:rsidRPr="00AE046A">
        <w:rPr>
          <w:color w:val="000000" w:themeColor="text1"/>
          <w:szCs w:val="28"/>
        </w:rPr>
        <w:t>в реестр недобросовестных поставщиков.</w:t>
      </w:r>
      <w:r>
        <w:rPr>
          <w:szCs w:val="28"/>
        </w:rPr>
        <w:t xml:space="preserve">  </w:t>
      </w:r>
    </w:p>
    <w:p w:rsidR="00B831C6" w:rsidRPr="00EB3226" w:rsidRDefault="00B831C6" w:rsidP="00B831C6">
      <w:pPr>
        <w:ind w:firstLine="567"/>
        <w:jc w:val="both"/>
        <w:rPr>
          <w:szCs w:val="28"/>
        </w:rPr>
      </w:pPr>
      <w:r w:rsidRPr="00EB3226">
        <w:rPr>
          <w:szCs w:val="28"/>
        </w:rPr>
        <w:t>Объем расходов на</w:t>
      </w:r>
      <w:r>
        <w:rPr>
          <w:szCs w:val="28"/>
        </w:rPr>
        <w:t xml:space="preserve"> </w:t>
      </w:r>
      <w:r w:rsidRPr="00EB3226">
        <w:rPr>
          <w:szCs w:val="28"/>
        </w:rPr>
        <w:t>осуществление социальных</w:t>
      </w:r>
      <w:r>
        <w:rPr>
          <w:szCs w:val="28"/>
        </w:rPr>
        <w:t xml:space="preserve"> </w:t>
      </w:r>
      <w:r w:rsidRPr="00EB3226">
        <w:rPr>
          <w:szCs w:val="28"/>
        </w:rPr>
        <w:t>выплат составила</w:t>
      </w:r>
      <w:r>
        <w:rPr>
          <w:szCs w:val="28"/>
        </w:rPr>
        <w:t xml:space="preserve"> </w:t>
      </w:r>
      <w:r w:rsidR="00C37D1F">
        <w:rPr>
          <w:szCs w:val="28"/>
        </w:rPr>
        <w:br/>
      </w:r>
      <w:r w:rsidR="00C01423">
        <w:rPr>
          <w:szCs w:val="28"/>
        </w:rPr>
        <w:t xml:space="preserve">4 269 917,6 тыс. рублей </w:t>
      </w:r>
      <w:r w:rsidRPr="00EB3226">
        <w:rPr>
          <w:szCs w:val="28"/>
        </w:rPr>
        <w:t xml:space="preserve">или </w:t>
      </w:r>
      <w:r w:rsidR="00C01423">
        <w:rPr>
          <w:szCs w:val="28"/>
        </w:rPr>
        <w:t>99,6</w:t>
      </w:r>
      <w:r w:rsidRPr="00EB3226">
        <w:rPr>
          <w:szCs w:val="28"/>
        </w:rPr>
        <w:t xml:space="preserve">% к плану, с темпом роста </w:t>
      </w:r>
      <w:r>
        <w:rPr>
          <w:szCs w:val="28"/>
        </w:rPr>
        <w:t>10</w:t>
      </w:r>
      <w:r w:rsidR="00C01423">
        <w:rPr>
          <w:szCs w:val="28"/>
        </w:rPr>
        <w:t>6,4</w:t>
      </w:r>
      <w:r w:rsidRPr="00EB3226">
        <w:rPr>
          <w:szCs w:val="28"/>
        </w:rPr>
        <w:t xml:space="preserve"> % к исполнению за 20</w:t>
      </w:r>
      <w:r>
        <w:rPr>
          <w:szCs w:val="28"/>
        </w:rPr>
        <w:t>2</w:t>
      </w:r>
      <w:r w:rsidR="004A7602">
        <w:rPr>
          <w:szCs w:val="28"/>
        </w:rPr>
        <w:t>1</w:t>
      </w:r>
      <w:r w:rsidRPr="00EB3226">
        <w:rPr>
          <w:szCs w:val="28"/>
        </w:rPr>
        <w:t xml:space="preserve"> год</w:t>
      </w:r>
      <w:r w:rsidR="004A7602">
        <w:rPr>
          <w:szCs w:val="28"/>
        </w:rPr>
        <w:t xml:space="preserve"> (4 012 354,0</w:t>
      </w:r>
      <w:r w:rsidR="004A7602" w:rsidRPr="00EB3226">
        <w:rPr>
          <w:szCs w:val="28"/>
        </w:rPr>
        <w:t xml:space="preserve"> тыс. рублей</w:t>
      </w:r>
      <w:r w:rsidR="004A7602">
        <w:rPr>
          <w:szCs w:val="28"/>
        </w:rPr>
        <w:t>)</w:t>
      </w:r>
      <w:r>
        <w:rPr>
          <w:szCs w:val="28"/>
        </w:rPr>
        <w:t xml:space="preserve">. </w:t>
      </w:r>
    </w:p>
    <w:p w:rsidR="00B831C6" w:rsidRPr="00EB3226" w:rsidRDefault="00B831C6" w:rsidP="00B831C6">
      <w:pPr>
        <w:ind w:firstLine="567"/>
        <w:jc w:val="both"/>
        <w:rPr>
          <w:szCs w:val="28"/>
        </w:rPr>
      </w:pPr>
      <w:r w:rsidRPr="00EB3226">
        <w:rPr>
          <w:szCs w:val="28"/>
        </w:rPr>
        <w:t xml:space="preserve">Объем расходов </w:t>
      </w:r>
      <w:r>
        <w:rPr>
          <w:szCs w:val="28"/>
        </w:rPr>
        <w:t>по</w:t>
      </w:r>
      <w:r w:rsidRPr="00EB3226">
        <w:rPr>
          <w:szCs w:val="28"/>
        </w:rPr>
        <w:t xml:space="preserve"> </w:t>
      </w:r>
      <w:r>
        <w:rPr>
          <w:szCs w:val="28"/>
        </w:rPr>
        <w:t xml:space="preserve">страховым взносам </w:t>
      </w:r>
      <w:r w:rsidRPr="00EB3226">
        <w:rPr>
          <w:szCs w:val="28"/>
        </w:rPr>
        <w:t xml:space="preserve">на обязательное медицинское страхование </w:t>
      </w:r>
      <w:r w:rsidR="000E755A">
        <w:rPr>
          <w:szCs w:val="28"/>
        </w:rPr>
        <w:t xml:space="preserve">неработающего населения </w:t>
      </w:r>
      <w:r w:rsidRPr="00EB3226">
        <w:rPr>
          <w:szCs w:val="28"/>
        </w:rPr>
        <w:t>составила</w:t>
      </w:r>
      <w:r>
        <w:rPr>
          <w:szCs w:val="28"/>
        </w:rPr>
        <w:t xml:space="preserve"> </w:t>
      </w:r>
      <w:r w:rsidR="00C01423">
        <w:rPr>
          <w:szCs w:val="28"/>
        </w:rPr>
        <w:t xml:space="preserve">1 776 569,7 </w:t>
      </w:r>
      <w:proofErr w:type="spellStart"/>
      <w:r w:rsidR="00C01423">
        <w:rPr>
          <w:szCs w:val="28"/>
        </w:rPr>
        <w:t>тыс.рублей</w:t>
      </w:r>
      <w:proofErr w:type="spellEnd"/>
      <w:r>
        <w:rPr>
          <w:szCs w:val="28"/>
        </w:rPr>
        <w:t xml:space="preserve"> </w:t>
      </w:r>
      <w:r w:rsidRPr="00EB3226">
        <w:rPr>
          <w:szCs w:val="28"/>
        </w:rPr>
        <w:t xml:space="preserve">или </w:t>
      </w:r>
      <w:r>
        <w:rPr>
          <w:szCs w:val="28"/>
        </w:rPr>
        <w:lastRenderedPageBreak/>
        <w:t>100,0</w:t>
      </w:r>
      <w:r w:rsidRPr="00EB3226">
        <w:rPr>
          <w:szCs w:val="28"/>
        </w:rPr>
        <w:t xml:space="preserve">% к плану, с темпом роста </w:t>
      </w:r>
      <w:r>
        <w:rPr>
          <w:szCs w:val="28"/>
        </w:rPr>
        <w:t>1</w:t>
      </w:r>
      <w:r w:rsidR="00C01423">
        <w:rPr>
          <w:szCs w:val="28"/>
        </w:rPr>
        <w:t>15,2</w:t>
      </w:r>
      <w:r w:rsidRPr="00EB3226">
        <w:rPr>
          <w:szCs w:val="28"/>
        </w:rPr>
        <w:t xml:space="preserve"> % к исполнению за 20</w:t>
      </w:r>
      <w:r>
        <w:rPr>
          <w:szCs w:val="28"/>
        </w:rPr>
        <w:t>2</w:t>
      </w:r>
      <w:r w:rsidR="00C01423">
        <w:rPr>
          <w:szCs w:val="28"/>
        </w:rPr>
        <w:t>1</w:t>
      </w:r>
      <w:r w:rsidRPr="00EB3226">
        <w:rPr>
          <w:szCs w:val="28"/>
        </w:rPr>
        <w:t xml:space="preserve"> год</w:t>
      </w:r>
      <w:r w:rsidR="00C01423">
        <w:rPr>
          <w:szCs w:val="28"/>
        </w:rPr>
        <w:t xml:space="preserve"> (1 541 909,1</w:t>
      </w:r>
      <w:r w:rsidR="00C01423" w:rsidRPr="00EB3226">
        <w:rPr>
          <w:szCs w:val="28"/>
        </w:rPr>
        <w:t xml:space="preserve"> тыс. рублей</w:t>
      </w:r>
      <w:r w:rsidR="00C01423">
        <w:rPr>
          <w:szCs w:val="28"/>
        </w:rPr>
        <w:t>)</w:t>
      </w:r>
      <w:r>
        <w:rPr>
          <w:szCs w:val="28"/>
        </w:rPr>
        <w:t xml:space="preserve"> </w:t>
      </w:r>
    </w:p>
    <w:p w:rsidR="00B831C6" w:rsidRDefault="00B831C6" w:rsidP="00B831C6">
      <w:pPr>
        <w:ind w:firstLine="567"/>
        <w:jc w:val="both"/>
        <w:rPr>
          <w:szCs w:val="28"/>
        </w:rPr>
      </w:pPr>
      <w:r w:rsidRPr="00EB3226">
        <w:rPr>
          <w:szCs w:val="28"/>
        </w:rPr>
        <w:t xml:space="preserve">Расходы на оплату труда с начислениями исполнены в сумме </w:t>
      </w:r>
      <w:r w:rsidR="00C37D1F" w:rsidRPr="00C37D1F">
        <w:rPr>
          <w:szCs w:val="28"/>
        </w:rPr>
        <w:t>|</w:t>
      </w:r>
      <w:r w:rsidR="00C37D1F" w:rsidRPr="00C37D1F">
        <w:rPr>
          <w:szCs w:val="28"/>
        </w:rPr>
        <w:br/>
      </w:r>
      <w:r>
        <w:rPr>
          <w:szCs w:val="28"/>
        </w:rPr>
        <w:t>3</w:t>
      </w:r>
      <w:r w:rsidR="00757F42">
        <w:rPr>
          <w:szCs w:val="28"/>
        </w:rPr>
        <w:t> 837 488,0</w:t>
      </w:r>
      <w:r>
        <w:rPr>
          <w:szCs w:val="28"/>
        </w:rPr>
        <w:t xml:space="preserve"> </w:t>
      </w:r>
      <w:r w:rsidRPr="00EB3226">
        <w:rPr>
          <w:szCs w:val="28"/>
        </w:rPr>
        <w:t xml:space="preserve">тыс. рублей, с темпом </w:t>
      </w:r>
      <w:r w:rsidR="00757F42">
        <w:rPr>
          <w:szCs w:val="28"/>
        </w:rPr>
        <w:t>роста 117</w:t>
      </w:r>
      <w:r>
        <w:rPr>
          <w:szCs w:val="28"/>
        </w:rPr>
        <w:t xml:space="preserve">% </w:t>
      </w:r>
      <w:r w:rsidRPr="00EB3226">
        <w:rPr>
          <w:szCs w:val="28"/>
        </w:rPr>
        <w:t>к уровню 20</w:t>
      </w:r>
      <w:r>
        <w:rPr>
          <w:szCs w:val="28"/>
        </w:rPr>
        <w:t>2</w:t>
      </w:r>
      <w:r w:rsidR="00757F42">
        <w:rPr>
          <w:szCs w:val="28"/>
        </w:rPr>
        <w:t>1</w:t>
      </w:r>
      <w:r w:rsidRPr="00EB3226">
        <w:rPr>
          <w:szCs w:val="28"/>
        </w:rPr>
        <w:t xml:space="preserve"> года</w:t>
      </w:r>
      <w:r w:rsidR="00757F42">
        <w:rPr>
          <w:szCs w:val="28"/>
        </w:rPr>
        <w:t xml:space="preserve"> (3 276 268,6 </w:t>
      </w:r>
      <w:r w:rsidR="00757F42" w:rsidRPr="00EB3226">
        <w:rPr>
          <w:szCs w:val="28"/>
        </w:rPr>
        <w:t>тыс. рублей</w:t>
      </w:r>
      <w:r w:rsidR="00757F42">
        <w:rPr>
          <w:szCs w:val="28"/>
        </w:rPr>
        <w:t>0</w:t>
      </w:r>
      <w:r>
        <w:rPr>
          <w:szCs w:val="28"/>
        </w:rPr>
        <w:t xml:space="preserve">, </w:t>
      </w:r>
      <w:r w:rsidR="00757F42">
        <w:rPr>
          <w:szCs w:val="28"/>
        </w:rPr>
        <w:t>за счет повышение  минимального размера оплаты труда и доведения до среднего по экономике оплаты труда отдельных (указной) категорий работников.</w:t>
      </w:r>
    </w:p>
    <w:p w:rsidR="000E3C75" w:rsidRDefault="000E3C75" w:rsidP="00B831C6">
      <w:pPr>
        <w:ind w:firstLine="567"/>
        <w:jc w:val="both"/>
        <w:rPr>
          <w:szCs w:val="28"/>
        </w:rPr>
      </w:pPr>
      <w:r>
        <w:rPr>
          <w:szCs w:val="28"/>
        </w:rPr>
        <w:t xml:space="preserve">Объем расходов на капитальные вложения в объекты государственной (муниципальной) собственности </w:t>
      </w:r>
      <w:r w:rsidRPr="00EB3226">
        <w:rPr>
          <w:szCs w:val="28"/>
        </w:rPr>
        <w:t>составила</w:t>
      </w:r>
      <w:r>
        <w:rPr>
          <w:szCs w:val="28"/>
        </w:rPr>
        <w:t xml:space="preserve"> 2 679 398 тыс. рублей </w:t>
      </w:r>
      <w:r w:rsidRPr="00EB3226">
        <w:rPr>
          <w:szCs w:val="28"/>
        </w:rPr>
        <w:t xml:space="preserve">или </w:t>
      </w:r>
      <w:r>
        <w:rPr>
          <w:szCs w:val="28"/>
        </w:rPr>
        <w:t>92,1</w:t>
      </w:r>
      <w:r w:rsidRPr="00EB3226">
        <w:rPr>
          <w:szCs w:val="28"/>
        </w:rPr>
        <w:t xml:space="preserve">% к плану, с темпом роста </w:t>
      </w:r>
      <w:r>
        <w:rPr>
          <w:szCs w:val="28"/>
        </w:rPr>
        <w:t>300,0</w:t>
      </w:r>
      <w:r w:rsidRPr="00EB3226">
        <w:rPr>
          <w:szCs w:val="28"/>
        </w:rPr>
        <w:t xml:space="preserve"> % к исполнению за 20</w:t>
      </w:r>
      <w:r>
        <w:rPr>
          <w:szCs w:val="28"/>
        </w:rPr>
        <w:t>21</w:t>
      </w:r>
      <w:r w:rsidRPr="00EB3226">
        <w:rPr>
          <w:szCs w:val="28"/>
        </w:rPr>
        <w:t xml:space="preserve"> год</w:t>
      </w:r>
      <w:r>
        <w:rPr>
          <w:szCs w:val="28"/>
        </w:rPr>
        <w:t xml:space="preserve"> (892 530,3</w:t>
      </w:r>
      <w:r w:rsidRPr="00EB3226">
        <w:rPr>
          <w:szCs w:val="28"/>
        </w:rPr>
        <w:t xml:space="preserve"> тыс. рублей</w:t>
      </w:r>
      <w:r>
        <w:rPr>
          <w:szCs w:val="28"/>
        </w:rPr>
        <w:t xml:space="preserve">) в связи с реализацией национальных проектов на уровне субъекта. </w:t>
      </w:r>
    </w:p>
    <w:p w:rsidR="000E3C75" w:rsidRDefault="000E3C75" w:rsidP="00B831C6">
      <w:pPr>
        <w:ind w:firstLine="567"/>
        <w:jc w:val="both"/>
        <w:rPr>
          <w:szCs w:val="28"/>
        </w:rPr>
      </w:pPr>
    </w:p>
    <w:p w:rsidR="00757F42" w:rsidRPr="00EB3226" w:rsidRDefault="00757F42" w:rsidP="00B831C6">
      <w:pPr>
        <w:ind w:firstLine="567"/>
        <w:jc w:val="both"/>
        <w:rPr>
          <w:szCs w:val="28"/>
        </w:rPr>
      </w:pPr>
    </w:p>
    <w:p w:rsidR="00554A16" w:rsidRPr="00EB3226" w:rsidRDefault="00554A16" w:rsidP="00EB3226">
      <w:pPr>
        <w:ind w:left="-284" w:firstLine="567"/>
        <w:jc w:val="both"/>
        <w:rPr>
          <w:szCs w:val="28"/>
        </w:rPr>
      </w:pPr>
      <w:r w:rsidRPr="00EB3226">
        <w:rPr>
          <w:szCs w:val="28"/>
        </w:rPr>
        <w:t>Описание расходов по разделам функциональной классификации.</w:t>
      </w:r>
    </w:p>
    <w:p w:rsidR="00526156" w:rsidRDefault="00526156" w:rsidP="00EB3226">
      <w:pPr>
        <w:ind w:firstLine="567"/>
        <w:jc w:val="both"/>
        <w:rPr>
          <w:i/>
          <w:szCs w:val="28"/>
        </w:rPr>
      </w:pPr>
    </w:p>
    <w:p w:rsidR="00554A16" w:rsidRPr="00EB3226" w:rsidRDefault="00554A16" w:rsidP="00EB3226">
      <w:pPr>
        <w:ind w:firstLine="567"/>
        <w:jc w:val="both"/>
        <w:rPr>
          <w:i/>
          <w:szCs w:val="28"/>
        </w:rPr>
      </w:pPr>
      <w:r w:rsidRPr="00EB3226">
        <w:rPr>
          <w:i/>
          <w:szCs w:val="28"/>
        </w:rPr>
        <w:t>Раздел 0100 «Общегосударственные вопросы»</w:t>
      </w:r>
    </w:p>
    <w:p w:rsidR="00554A16" w:rsidRPr="00EB3226" w:rsidRDefault="00554A16" w:rsidP="00EB3226">
      <w:pPr>
        <w:ind w:firstLine="567"/>
        <w:jc w:val="both"/>
        <w:rPr>
          <w:szCs w:val="28"/>
        </w:rPr>
      </w:pPr>
      <w:r w:rsidRPr="00EB3226">
        <w:rPr>
          <w:szCs w:val="28"/>
        </w:rPr>
        <w:t xml:space="preserve">Расходы по разделу 0100 «Общегосударственные вопросы» исполнены в сумме </w:t>
      </w:r>
      <w:r w:rsidR="00F46CAD">
        <w:rPr>
          <w:szCs w:val="28"/>
        </w:rPr>
        <w:t>1</w:t>
      </w:r>
      <w:r w:rsidR="005F4BE1">
        <w:rPr>
          <w:szCs w:val="28"/>
        </w:rPr>
        <w:t> 183 037,7</w:t>
      </w:r>
      <w:r w:rsidRPr="00EB3226">
        <w:rPr>
          <w:szCs w:val="28"/>
        </w:rPr>
        <w:t xml:space="preserve"> тыс. рублей при уточненном плане </w:t>
      </w:r>
      <w:r w:rsidR="00F46CAD">
        <w:rPr>
          <w:szCs w:val="28"/>
        </w:rPr>
        <w:t>1</w:t>
      </w:r>
      <w:r w:rsidR="005F4BE1">
        <w:rPr>
          <w:szCs w:val="28"/>
        </w:rPr>
        <w:t> 223 753,2</w:t>
      </w:r>
      <w:r w:rsidRPr="00EB3226">
        <w:rPr>
          <w:szCs w:val="28"/>
        </w:rPr>
        <w:t xml:space="preserve"> тыс. рублей или исполнено на </w:t>
      </w:r>
      <w:r w:rsidR="00F46CAD">
        <w:rPr>
          <w:szCs w:val="28"/>
        </w:rPr>
        <w:t>9</w:t>
      </w:r>
      <w:r w:rsidR="005F4BE1">
        <w:rPr>
          <w:szCs w:val="28"/>
        </w:rPr>
        <w:t>6,7</w:t>
      </w:r>
      <w:r w:rsidRPr="00EB3226">
        <w:rPr>
          <w:szCs w:val="28"/>
        </w:rPr>
        <w:t xml:space="preserve"> %, </w:t>
      </w:r>
      <w:r w:rsidR="00987A9F">
        <w:rPr>
          <w:szCs w:val="28"/>
        </w:rPr>
        <w:t>в связи неиспользованием средств резервных фондов, отсутствием</w:t>
      </w:r>
      <w:r w:rsidR="00987A9F" w:rsidRPr="00987A9F">
        <w:t xml:space="preserve"> </w:t>
      </w:r>
      <w:r w:rsidR="00987A9F" w:rsidRPr="00987A9F">
        <w:rPr>
          <w:szCs w:val="28"/>
        </w:rPr>
        <w:t>оснований (обращений) связанных с непредвиденными чрезвычайными ситуациями</w:t>
      </w:r>
      <w:r w:rsidR="00987A9F">
        <w:rPr>
          <w:szCs w:val="28"/>
        </w:rPr>
        <w:t>, с э</w:t>
      </w:r>
      <w:r w:rsidR="00987A9F" w:rsidRPr="00987A9F">
        <w:rPr>
          <w:szCs w:val="28"/>
        </w:rPr>
        <w:t>кономи</w:t>
      </w:r>
      <w:r w:rsidR="00987A9F">
        <w:rPr>
          <w:szCs w:val="28"/>
        </w:rPr>
        <w:t>ей</w:t>
      </w:r>
      <w:r w:rsidR="00987A9F" w:rsidRPr="00987A9F">
        <w:rPr>
          <w:szCs w:val="28"/>
        </w:rPr>
        <w:t>, сложившаяся по результатам проведения конкурсных процедур</w:t>
      </w:r>
      <w:r w:rsidR="00987A9F">
        <w:rPr>
          <w:szCs w:val="28"/>
        </w:rPr>
        <w:t xml:space="preserve"> и другие. Уд</w:t>
      </w:r>
      <w:r w:rsidRPr="00EB3226">
        <w:rPr>
          <w:szCs w:val="28"/>
        </w:rPr>
        <w:t>ельный вес расходов раздела составляет 3,</w:t>
      </w:r>
      <w:r w:rsidR="00F46CAD">
        <w:rPr>
          <w:szCs w:val="28"/>
        </w:rPr>
        <w:t>6</w:t>
      </w:r>
      <w:r w:rsidR="005F4BE1">
        <w:rPr>
          <w:szCs w:val="28"/>
        </w:rPr>
        <w:t>2</w:t>
      </w:r>
      <w:r w:rsidRPr="00EB3226">
        <w:rPr>
          <w:szCs w:val="28"/>
        </w:rPr>
        <w:t xml:space="preserve"> % в общих расходах. По сравнению с аналогичным периодом 20</w:t>
      </w:r>
      <w:r w:rsidR="00F46CAD">
        <w:rPr>
          <w:szCs w:val="28"/>
        </w:rPr>
        <w:t>2</w:t>
      </w:r>
      <w:r w:rsidR="005F4BE1">
        <w:rPr>
          <w:szCs w:val="28"/>
        </w:rPr>
        <w:t>1</w:t>
      </w:r>
      <w:r w:rsidRPr="00EB3226">
        <w:rPr>
          <w:szCs w:val="28"/>
        </w:rPr>
        <w:t xml:space="preserve"> г. расходы увеличились, темп роста расходов составил </w:t>
      </w:r>
      <w:r w:rsidR="00595B54" w:rsidRPr="00EB3226">
        <w:rPr>
          <w:szCs w:val="28"/>
        </w:rPr>
        <w:t>1</w:t>
      </w:r>
      <w:r w:rsidR="005F4BE1">
        <w:rPr>
          <w:szCs w:val="28"/>
        </w:rPr>
        <w:t>13,8</w:t>
      </w:r>
      <w:r w:rsidRPr="00EB3226">
        <w:rPr>
          <w:color w:val="000000" w:themeColor="text1"/>
          <w:szCs w:val="28"/>
        </w:rPr>
        <w:t xml:space="preserve"> %.</w:t>
      </w:r>
    </w:p>
    <w:p w:rsidR="00526156" w:rsidRDefault="00526156" w:rsidP="00EB3226">
      <w:pPr>
        <w:ind w:firstLine="567"/>
        <w:jc w:val="both"/>
        <w:rPr>
          <w:i/>
          <w:szCs w:val="28"/>
        </w:rPr>
      </w:pPr>
    </w:p>
    <w:p w:rsidR="00554A16" w:rsidRPr="00EB3226" w:rsidRDefault="00554A16" w:rsidP="00EB3226">
      <w:pPr>
        <w:ind w:firstLine="567"/>
        <w:jc w:val="both"/>
        <w:rPr>
          <w:i/>
          <w:szCs w:val="28"/>
        </w:rPr>
      </w:pPr>
      <w:r w:rsidRPr="00EB3226">
        <w:rPr>
          <w:i/>
          <w:szCs w:val="28"/>
        </w:rPr>
        <w:t>Раздел 0200 «Национальная оборона»</w:t>
      </w:r>
    </w:p>
    <w:p w:rsidR="00554A16" w:rsidRPr="00EB3226" w:rsidRDefault="00554A16" w:rsidP="002B75A1">
      <w:pPr>
        <w:jc w:val="both"/>
        <w:rPr>
          <w:szCs w:val="28"/>
        </w:rPr>
      </w:pPr>
      <w:r w:rsidRPr="00EB3226">
        <w:rPr>
          <w:szCs w:val="28"/>
        </w:rPr>
        <w:t>Расходы по разделу 0200 «Национальная оборона»</w:t>
      </w:r>
      <w:r w:rsidRPr="00EB3226">
        <w:rPr>
          <w:i/>
          <w:szCs w:val="28"/>
        </w:rPr>
        <w:t xml:space="preserve"> </w:t>
      </w:r>
      <w:r w:rsidR="001804A2" w:rsidRPr="00EB3226">
        <w:rPr>
          <w:szCs w:val="28"/>
        </w:rPr>
        <w:t xml:space="preserve">исполнены в сумме </w:t>
      </w:r>
      <w:r w:rsidR="005F4BE1">
        <w:rPr>
          <w:szCs w:val="28"/>
        </w:rPr>
        <w:t>26 756,8</w:t>
      </w:r>
      <w:r w:rsidRPr="00EB3226">
        <w:rPr>
          <w:szCs w:val="28"/>
        </w:rPr>
        <w:t xml:space="preserve"> тыс. руб</w:t>
      </w:r>
      <w:r w:rsidR="001804A2" w:rsidRPr="00EB3226">
        <w:rPr>
          <w:szCs w:val="28"/>
        </w:rPr>
        <w:t xml:space="preserve">лей при уточненном плане </w:t>
      </w:r>
      <w:r w:rsidR="005F4BE1">
        <w:rPr>
          <w:szCs w:val="28"/>
        </w:rPr>
        <w:t>28 235,8</w:t>
      </w:r>
      <w:r w:rsidRPr="00EB3226">
        <w:rPr>
          <w:szCs w:val="28"/>
        </w:rPr>
        <w:t xml:space="preserve"> т</w:t>
      </w:r>
      <w:r w:rsidR="001804A2" w:rsidRPr="00EB3226">
        <w:rPr>
          <w:szCs w:val="28"/>
        </w:rPr>
        <w:t xml:space="preserve">ыс. рублей или исполнены на </w:t>
      </w:r>
      <w:r w:rsidR="005F4BE1" w:rsidRPr="00053BF2">
        <w:rPr>
          <w:color w:val="000000" w:themeColor="text1"/>
          <w:szCs w:val="28"/>
        </w:rPr>
        <w:t>94,8</w:t>
      </w:r>
      <w:r w:rsidRPr="00053BF2">
        <w:rPr>
          <w:color w:val="000000" w:themeColor="text1"/>
          <w:szCs w:val="28"/>
        </w:rPr>
        <w:t xml:space="preserve"> %, </w:t>
      </w:r>
      <w:r w:rsidR="00053BF2" w:rsidRPr="00053BF2">
        <w:rPr>
          <w:color w:val="000000" w:themeColor="text1"/>
          <w:szCs w:val="28"/>
        </w:rPr>
        <w:t>в</w:t>
      </w:r>
      <w:r w:rsidR="00053BF2" w:rsidRPr="00053BF2">
        <w:rPr>
          <w:szCs w:val="28"/>
        </w:rPr>
        <w:t xml:space="preserve"> связи с проведением специальной военной операции в </w:t>
      </w:r>
      <w:r w:rsidR="00841353">
        <w:rPr>
          <w:szCs w:val="28"/>
        </w:rPr>
        <w:t>бюджете</w:t>
      </w:r>
      <w:r w:rsidR="00053BF2">
        <w:rPr>
          <w:szCs w:val="28"/>
        </w:rPr>
        <w:t xml:space="preserve"> </w:t>
      </w:r>
      <w:r w:rsidR="00053BF2" w:rsidRPr="00053BF2">
        <w:rPr>
          <w:szCs w:val="28"/>
        </w:rPr>
        <w:t xml:space="preserve">зарезервированы бюджетные ассигнования по обеспечению мероприятий на случай объявления мобилизации </w:t>
      </w:r>
      <w:r w:rsidR="00053BF2">
        <w:rPr>
          <w:szCs w:val="28"/>
        </w:rPr>
        <w:t xml:space="preserve">органов </w:t>
      </w:r>
      <w:r w:rsidR="00841353">
        <w:rPr>
          <w:szCs w:val="28"/>
        </w:rPr>
        <w:t>государственной власти, уд</w:t>
      </w:r>
      <w:r w:rsidRPr="00EB3226">
        <w:rPr>
          <w:szCs w:val="28"/>
        </w:rPr>
        <w:t>ельный вес расходов раздела составляет 0,</w:t>
      </w:r>
      <w:r w:rsidR="00F46CAD">
        <w:rPr>
          <w:szCs w:val="28"/>
        </w:rPr>
        <w:t>0</w:t>
      </w:r>
      <w:r w:rsidR="005F4BE1">
        <w:rPr>
          <w:szCs w:val="28"/>
        </w:rPr>
        <w:t>8</w:t>
      </w:r>
      <w:r w:rsidRPr="00EB3226">
        <w:rPr>
          <w:szCs w:val="28"/>
        </w:rPr>
        <w:t xml:space="preserve"> % в общих расходах. </w:t>
      </w:r>
    </w:p>
    <w:p w:rsidR="00554A16" w:rsidRPr="00EB3226" w:rsidRDefault="00554A16" w:rsidP="00EB3226">
      <w:pPr>
        <w:ind w:firstLine="567"/>
        <w:jc w:val="both"/>
        <w:rPr>
          <w:szCs w:val="28"/>
        </w:rPr>
      </w:pPr>
      <w:r w:rsidRPr="00EB3226">
        <w:rPr>
          <w:szCs w:val="28"/>
        </w:rPr>
        <w:t>По сравн</w:t>
      </w:r>
      <w:r w:rsidR="001804A2" w:rsidRPr="00EB3226">
        <w:rPr>
          <w:szCs w:val="28"/>
        </w:rPr>
        <w:t>ению с аналогичным периодом 20</w:t>
      </w:r>
      <w:r w:rsidR="00F46CAD">
        <w:rPr>
          <w:szCs w:val="28"/>
        </w:rPr>
        <w:t>2</w:t>
      </w:r>
      <w:r w:rsidR="005F4BE1">
        <w:rPr>
          <w:szCs w:val="28"/>
        </w:rPr>
        <w:t>1</w:t>
      </w:r>
      <w:r w:rsidR="00F46CAD">
        <w:rPr>
          <w:szCs w:val="28"/>
        </w:rPr>
        <w:t xml:space="preserve"> </w:t>
      </w:r>
      <w:r w:rsidRPr="00EB3226">
        <w:rPr>
          <w:szCs w:val="28"/>
        </w:rPr>
        <w:t xml:space="preserve">г. расходы </w:t>
      </w:r>
      <w:r w:rsidR="00F46CAD">
        <w:rPr>
          <w:szCs w:val="28"/>
        </w:rPr>
        <w:t>возросли</w:t>
      </w:r>
      <w:r w:rsidR="001804A2" w:rsidRPr="00EB3226">
        <w:rPr>
          <w:szCs w:val="28"/>
        </w:rPr>
        <w:t xml:space="preserve">, </w:t>
      </w:r>
      <w:r w:rsidR="00595B54" w:rsidRPr="00EB3226">
        <w:rPr>
          <w:szCs w:val="28"/>
        </w:rPr>
        <w:t xml:space="preserve">темп роста расходов составил </w:t>
      </w:r>
      <w:r w:rsidR="00F46CAD">
        <w:rPr>
          <w:szCs w:val="28"/>
        </w:rPr>
        <w:t>1</w:t>
      </w:r>
      <w:r w:rsidR="005F4BE1">
        <w:rPr>
          <w:szCs w:val="28"/>
        </w:rPr>
        <w:t>46,6</w:t>
      </w:r>
      <w:r w:rsidR="00595B54" w:rsidRPr="00EB3226">
        <w:rPr>
          <w:szCs w:val="28"/>
        </w:rPr>
        <w:t xml:space="preserve"> %, </w:t>
      </w:r>
      <w:r w:rsidR="001804A2" w:rsidRPr="00EB3226">
        <w:rPr>
          <w:szCs w:val="28"/>
        </w:rPr>
        <w:t xml:space="preserve">в связи с </w:t>
      </w:r>
      <w:r w:rsidR="00E967C7" w:rsidRPr="00EB3226">
        <w:rPr>
          <w:szCs w:val="28"/>
        </w:rPr>
        <w:t>ростом объема субвенций из федерального бюджета</w:t>
      </w:r>
      <w:r w:rsidR="005F4BE1">
        <w:rPr>
          <w:szCs w:val="28"/>
        </w:rPr>
        <w:t xml:space="preserve"> и осуществлением расходов в рамках мобилизационной подготовки</w:t>
      </w:r>
      <w:r w:rsidR="00E967C7" w:rsidRPr="00EB3226">
        <w:rPr>
          <w:szCs w:val="28"/>
        </w:rPr>
        <w:t>.</w:t>
      </w:r>
    </w:p>
    <w:p w:rsidR="00554A16" w:rsidRPr="00EB3226" w:rsidRDefault="00554A16" w:rsidP="00EB3226">
      <w:pPr>
        <w:autoSpaceDE w:val="0"/>
        <w:autoSpaceDN w:val="0"/>
        <w:adjustRightInd w:val="0"/>
        <w:ind w:firstLine="567"/>
        <w:jc w:val="both"/>
        <w:rPr>
          <w:szCs w:val="28"/>
          <w:highlight w:val="yellow"/>
        </w:rPr>
      </w:pPr>
    </w:p>
    <w:p w:rsidR="00554A16" w:rsidRPr="00EB3226" w:rsidRDefault="00554A16" w:rsidP="00EB3226">
      <w:pPr>
        <w:ind w:firstLine="567"/>
        <w:jc w:val="both"/>
        <w:rPr>
          <w:i/>
          <w:szCs w:val="28"/>
        </w:rPr>
      </w:pPr>
      <w:r w:rsidRPr="00EB3226">
        <w:rPr>
          <w:i/>
          <w:szCs w:val="28"/>
        </w:rPr>
        <w:t>Раздел 0300 «Национальная безопасность и правоохранительная деятельность»</w:t>
      </w:r>
    </w:p>
    <w:p w:rsidR="00554A16" w:rsidRPr="00EB3226" w:rsidRDefault="00554A16" w:rsidP="00EB3226">
      <w:pPr>
        <w:tabs>
          <w:tab w:val="left" w:pos="720"/>
        </w:tabs>
        <w:suppressAutoHyphens/>
        <w:ind w:firstLine="567"/>
        <w:jc w:val="both"/>
        <w:rPr>
          <w:szCs w:val="28"/>
        </w:rPr>
      </w:pPr>
      <w:r w:rsidRPr="00EB3226">
        <w:rPr>
          <w:szCs w:val="28"/>
        </w:rPr>
        <w:t xml:space="preserve">Расходы по разделу 0300 «Национальная безопасность и правоохранительная деятельность» исполнены в сумме </w:t>
      </w:r>
      <w:r w:rsidR="003E4727">
        <w:rPr>
          <w:szCs w:val="28"/>
        </w:rPr>
        <w:t>227180,2</w:t>
      </w:r>
      <w:r w:rsidRPr="00EB3226">
        <w:rPr>
          <w:szCs w:val="28"/>
        </w:rPr>
        <w:t xml:space="preserve"> тыс. рублей при уточненном плане </w:t>
      </w:r>
      <w:r w:rsidR="003E4727">
        <w:rPr>
          <w:szCs w:val="28"/>
        </w:rPr>
        <w:t>229611,5</w:t>
      </w:r>
      <w:r w:rsidRPr="00EB3226">
        <w:rPr>
          <w:szCs w:val="28"/>
        </w:rPr>
        <w:t xml:space="preserve"> тыс. рублей или исполнен на </w:t>
      </w:r>
      <w:r w:rsidR="003E4727">
        <w:rPr>
          <w:szCs w:val="28"/>
        </w:rPr>
        <w:t>98,9</w:t>
      </w:r>
      <w:r w:rsidRPr="00EB3226">
        <w:rPr>
          <w:szCs w:val="28"/>
        </w:rPr>
        <w:t xml:space="preserve"> %, удельный вес расходов раздела составляет </w:t>
      </w:r>
      <w:r w:rsidR="00595B54" w:rsidRPr="00EB3226">
        <w:rPr>
          <w:szCs w:val="28"/>
        </w:rPr>
        <w:t>0,</w:t>
      </w:r>
      <w:r w:rsidR="003E4727">
        <w:rPr>
          <w:szCs w:val="28"/>
        </w:rPr>
        <w:t>7</w:t>
      </w:r>
      <w:r w:rsidRPr="00EB3226">
        <w:rPr>
          <w:szCs w:val="28"/>
        </w:rPr>
        <w:t xml:space="preserve"> % в общих расходах. </w:t>
      </w:r>
    </w:p>
    <w:p w:rsidR="00554A16" w:rsidRPr="003E4727" w:rsidRDefault="00554A16" w:rsidP="00EB3226">
      <w:pPr>
        <w:tabs>
          <w:tab w:val="left" w:pos="720"/>
        </w:tabs>
        <w:suppressAutoHyphens/>
        <w:ind w:firstLine="567"/>
        <w:jc w:val="both"/>
        <w:rPr>
          <w:color w:val="FF0000"/>
          <w:szCs w:val="28"/>
        </w:rPr>
      </w:pPr>
      <w:r w:rsidRPr="008A42B8">
        <w:rPr>
          <w:color w:val="000000" w:themeColor="text1"/>
          <w:szCs w:val="28"/>
        </w:rPr>
        <w:lastRenderedPageBreak/>
        <w:t>По сравнению с аналогичным периодом 20</w:t>
      </w:r>
      <w:r w:rsidR="00C43DEB">
        <w:rPr>
          <w:color w:val="000000" w:themeColor="text1"/>
          <w:szCs w:val="28"/>
        </w:rPr>
        <w:t>2</w:t>
      </w:r>
      <w:r w:rsidR="003E4727">
        <w:rPr>
          <w:color w:val="000000" w:themeColor="text1"/>
          <w:szCs w:val="28"/>
        </w:rPr>
        <w:t>1</w:t>
      </w:r>
      <w:r w:rsidRPr="008A42B8">
        <w:rPr>
          <w:color w:val="000000" w:themeColor="text1"/>
          <w:szCs w:val="28"/>
        </w:rPr>
        <w:t xml:space="preserve"> г. расходы </w:t>
      </w:r>
      <w:r w:rsidR="003E4727" w:rsidRPr="008A42B8">
        <w:rPr>
          <w:color w:val="000000" w:themeColor="text1"/>
          <w:szCs w:val="28"/>
        </w:rPr>
        <w:t>у</w:t>
      </w:r>
      <w:r w:rsidR="003E4727">
        <w:rPr>
          <w:color w:val="000000" w:themeColor="text1"/>
          <w:szCs w:val="28"/>
        </w:rPr>
        <w:t>меньшились</w:t>
      </w:r>
      <w:r w:rsidRPr="008A42B8">
        <w:rPr>
          <w:color w:val="000000" w:themeColor="text1"/>
          <w:szCs w:val="28"/>
        </w:rPr>
        <w:t xml:space="preserve">, темп </w:t>
      </w:r>
      <w:r w:rsidR="003E4727">
        <w:rPr>
          <w:color w:val="000000" w:themeColor="text1"/>
          <w:szCs w:val="28"/>
        </w:rPr>
        <w:t xml:space="preserve">снижения </w:t>
      </w:r>
      <w:r w:rsidRPr="008A42B8">
        <w:rPr>
          <w:color w:val="000000" w:themeColor="text1"/>
          <w:szCs w:val="28"/>
        </w:rPr>
        <w:t xml:space="preserve">роста </w:t>
      </w:r>
      <w:r w:rsidRPr="009D6E63">
        <w:rPr>
          <w:szCs w:val="28"/>
        </w:rPr>
        <w:t xml:space="preserve">составил </w:t>
      </w:r>
      <w:r w:rsidR="003E4727" w:rsidRPr="009D6E63">
        <w:rPr>
          <w:szCs w:val="28"/>
        </w:rPr>
        <w:t>93,9</w:t>
      </w:r>
      <w:r w:rsidRPr="009D6E63">
        <w:rPr>
          <w:szCs w:val="28"/>
        </w:rPr>
        <w:t xml:space="preserve"> %</w:t>
      </w:r>
      <w:r w:rsidR="009F03F4" w:rsidRPr="009D6E63">
        <w:rPr>
          <w:szCs w:val="28"/>
        </w:rPr>
        <w:t xml:space="preserve">, </w:t>
      </w:r>
      <w:r w:rsidR="003E4727" w:rsidRPr="009D6E63">
        <w:rPr>
          <w:szCs w:val="28"/>
        </w:rPr>
        <w:t xml:space="preserve">в связи </w:t>
      </w:r>
      <w:r w:rsidR="009D6E63" w:rsidRPr="009D6E63">
        <w:rPr>
          <w:szCs w:val="28"/>
        </w:rPr>
        <w:t>с созданием системы "112" в 2021 году</w:t>
      </w:r>
      <w:r w:rsidR="009D6E63">
        <w:rPr>
          <w:color w:val="FF0000"/>
          <w:szCs w:val="28"/>
        </w:rPr>
        <w:t xml:space="preserve">. </w:t>
      </w:r>
    </w:p>
    <w:p w:rsidR="00554A16" w:rsidRPr="00EB3226" w:rsidRDefault="00554A16" w:rsidP="00EB3226">
      <w:pPr>
        <w:ind w:firstLine="567"/>
        <w:jc w:val="both"/>
        <w:rPr>
          <w:szCs w:val="28"/>
        </w:rPr>
      </w:pPr>
      <w:r w:rsidRPr="00EB3226">
        <w:rPr>
          <w:szCs w:val="28"/>
        </w:rPr>
        <w:t>Расходы по разделу характеризуются реализацией комплекса мероприятий, направленных на предупреждение и снижение количества чрезвычайных ситуаций, пожаров, происшествий на водных объектах и гибели людей на них, а также по содержанию и организации деятельности аварийно-спасательных служб и аварийно-спасательных формирований.</w:t>
      </w:r>
    </w:p>
    <w:p w:rsidR="00554A16" w:rsidRPr="00EB3226" w:rsidRDefault="00554A16" w:rsidP="00EB3226">
      <w:pPr>
        <w:pStyle w:val="a7"/>
        <w:tabs>
          <w:tab w:val="left" w:pos="700"/>
        </w:tabs>
        <w:rPr>
          <w:i/>
          <w:sz w:val="28"/>
          <w:szCs w:val="28"/>
          <w:highlight w:val="yellow"/>
        </w:rPr>
      </w:pPr>
    </w:p>
    <w:p w:rsidR="00554A16" w:rsidRPr="00EB3226" w:rsidRDefault="00554A16" w:rsidP="00EB3226">
      <w:pPr>
        <w:pStyle w:val="a7"/>
        <w:tabs>
          <w:tab w:val="left" w:pos="700"/>
        </w:tabs>
        <w:rPr>
          <w:i/>
          <w:sz w:val="28"/>
          <w:szCs w:val="28"/>
        </w:rPr>
      </w:pPr>
      <w:r w:rsidRPr="00EB3226">
        <w:rPr>
          <w:i/>
          <w:sz w:val="28"/>
          <w:szCs w:val="28"/>
        </w:rPr>
        <w:t>Раздел 0400 «Национальная экономика»</w:t>
      </w:r>
    </w:p>
    <w:p w:rsidR="00554A16" w:rsidRPr="00EB3226" w:rsidRDefault="00554A16" w:rsidP="00EB3226">
      <w:pPr>
        <w:ind w:firstLine="709"/>
        <w:jc w:val="both"/>
        <w:rPr>
          <w:szCs w:val="28"/>
        </w:rPr>
      </w:pPr>
      <w:r w:rsidRPr="00EB3226">
        <w:rPr>
          <w:szCs w:val="28"/>
        </w:rPr>
        <w:t xml:space="preserve">Расходы по разделу 0400 «Национальная экономика» исполнены в сумме </w:t>
      </w:r>
      <w:r w:rsidR="003E4727">
        <w:rPr>
          <w:szCs w:val="28"/>
        </w:rPr>
        <w:t>9 517 297,1</w:t>
      </w:r>
      <w:r w:rsidRPr="00EB3226">
        <w:rPr>
          <w:szCs w:val="28"/>
        </w:rPr>
        <w:t xml:space="preserve"> тыс. рублей при уточненном плане </w:t>
      </w:r>
      <w:r w:rsidR="003E4727">
        <w:rPr>
          <w:szCs w:val="28"/>
        </w:rPr>
        <w:t>10 097 591,5</w:t>
      </w:r>
      <w:r w:rsidRPr="00EB3226">
        <w:rPr>
          <w:szCs w:val="28"/>
        </w:rPr>
        <w:t xml:space="preserve"> тыс. рублей или исполнен на </w:t>
      </w:r>
      <w:r w:rsidR="003E4727">
        <w:rPr>
          <w:szCs w:val="28"/>
        </w:rPr>
        <w:t>94,3</w:t>
      </w:r>
      <w:r w:rsidRPr="00EB3226">
        <w:rPr>
          <w:szCs w:val="28"/>
        </w:rPr>
        <w:t xml:space="preserve"> %, удельный вес расходов раздела составляет </w:t>
      </w:r>
      <w:r w:rsidR="003E4727">
        <w:rPr>
          <w:szCs w:val="28"/>
        </w:rPr>
        <w:t>29,16</w:t>
      </w:r>
      <w:r w:rsidRPr="00EB3226">
        <w:rPr>
          <w:szCs w:val="28"/>
        </w:rPr>
        <w:t xml:space="preserve"> % в общих расходах. Невысокое исполнение по разделу связано с длительной процедурой проведения торгов и нарушением подрядными организациями сроков и условий контрактов, изменениями и дополнениями в контракты и отсутствием положительной экспертизы по выполненным работам</w:t>
      </w:r>
      <w:r w:rsidR="00D96476">
        <w:rPr>
          <w:szCs w:val="28"/>
        </w:rPr>
        <w:t>, оплата по факту выполненных работ</w:t>
      </w:r>
      <w:r w:rsidRPr="00EB3226">
        <w:rPr>
          <w:szCs w:val="28"/>
        </w:rPr>
        <w:t xml:space="preserve">. </w:t>
      </w:r>
    </w:p>
    <w:p w:rsidR="00554A16" w:rsidRPr="00EB3226" w:rsidRDefault="00554A16" w:rsidP="00EB3226">
      <w:pPr>
        <w:autoSpaceDE w:val="0"/>
        <w:autoSpaceDN w:val="0"/>
        <w:adjustRightInd w:val="0"/>
        <w:ind w:firstLine="567"/>
        <w:jc w:val="both"/>
        <w:rPr>
          <w:szCs w:val="28"/>
        </w:rPr>
      </w:pPr>
      <w:r w:rsidRPr="00EB3226">
        <w:rPr>
          <w:szCs w:val="28"/>
        </w:rPr>
        <w:t>По сравнению с аналогичным периодом 20</w:t>
      </w:r>
      <w:r w:rsidR="00C43DEB">
        <w:rPr>
          <w:szCs w:val="28"/>
        </w:rPr>
        <w:t>2</w:t>
      </w:r>
      <w:r w:rsidR="003E4727">
        <w:rPr>
          <w:szCs w:val="28"/>
        </w:rPr>
        <w:t>1</w:t>
      </w:r>
      <w:r w:rsidRPr="00EB3226">
        <w:rPr>
          <w:szCs w:val="28"/>
        </w:rPr>
        <w:t xml:space="preserve"> г. расходы увеличились, темп роста составил </w:t>
      </w:r>
      <w:r w:rsidR="003E4727">
        <w:rPr>
          <w:szCs w:val="28"/>
        </w:rPr>
        <w:t>135,3</w:t>
      </w:r>
      <w:r w:rsidRPr="00EB3226">
        <w:rPr>
          <w:szCs w:val="28"/>
        </w:rPr>
        <w:t xml:space="preserve"> % в связи</w:t>
      </w:r>
      <w:r w:rsidR="003E4727" w:rsidRPr="003E4727">
        <w:rPr>
          <w:szCs w:val="28"/>
        </w:rPr>
        <w:t xml:space="preserve"> </w:t>
      </w:r>
      <w:r w:rsidR="003229B6" w:rsidRPr="003229B6">
        <w:rPr>
          <w:szCs w:val="28"/>
        </w:rPr>
        <w:t>с предоставлением межбюджетных трансфертов в 2022 году на  развитие инфраструктуры дорожного хозяйства за счет средств резервного фонда Правительства Российской Федерации</w:t>
      </w:r>
      <w:r w:rsidR="003229B6">
        <w:rPr>
          <w:szCs w:val="28"/>
        </w:rPr>
        <w:t xml:space="preserve"> и </w:t>
      </w:r>
      <w:r w:rsidR="003E4727">
        <w:rPr>
          <w:szCs w:val="28"/>
        </w:rPr>
        <w:t xml:space="preserve">на </w:t>
      </w:r>
      <w:r w:rsidRPr="00EB3226">
        <w:rPr>
          <w:szCs w:val="28"/>
        </w:rPr>
        <w:t xml:space="preserve"> реализаци</w:t>
      </w:r>
      <w:r w:rsidR="003E4727">
        <w:rPr>
          <w:szCs w:val="28"/>
        </w:rPr>
        <w:t>ю</w:t>
      </w:r>
      <w:r w:rsidRPr="00EB3226">
        <w:rPr>
          <w:szCs w:val="28"/>
        </w:rPr>
        <w:t xml:space="preserve"> региональных проектов в рамках национальных проектов «Малое и среднее предпринимательство и поддержка индивидуальной предпринимательской инициативы» и «Экология». </w:t>
      </w:r>
    </w:p>
    <w:p w:rsidR="00554A16" w:rsidRPr="00EB3226" w:rsidRDefault="00554A16" w:rsidP="00EB3226">
      <w:pPr>
        <w:autoSpaceDE w:val="0"/>
        <w:autoSpaceDN w:val="0"/>
        <w:adjustRightInd w:val="0"/>
        <w:ind w:firstLine="567"/>
        <w:jc w:val="both"/>
        <w:rPr>
          <w:szCs w:val="28"/>
        </w:rPr>
      </w:pPr>
      <w:r w:rsidRPr="00EB3226">
        <w:rPr>
          <w:szCs w:val="28"/>
        </w:rPr>
        <w:t>По данному разделу отражены нижеперечисленные расходы:</w:t>
      </w:r>
    </w:p>
    <w:p w:rsidR="00554A16" w:rsidRPr="00EB3226" w:rsidRDefault="00554A16" w:rsidP="00EB3226">
      <w:pPr>
        <w:widowControl w:val="0"/>
        <w:autoSpaceDE w:val="0"/>
        <w:autoSpaceDN w:val="0"/>
        <w:adjustRightInd w:val="0"/>
        <w:ind w:firstLine="567"/>
        <w:jc w:val="both"/>
        <w:rPr>
          <w:szCs w:val="28"/>
        </w:rPr>
      </w:pPr>
      <w:r w:rsidRPr="00EB3226">
        <w:rPr>
          <w:szCs w:val="28"/>
        </w:rPr>
        <w:t>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554A16" w:rsidRPr="00EB3226" w:rsidRDefault="00554A16" w:rsidP="00EB3226">
      <w:pPr>
        <w:ind w:firstLine="567"/>
        <w:jc w:val="both"/>
        <w:rPr>
          <w:szCs w:val="28"/>
        </w:rPr>
      </w:pPr>
      <w:r w:rsidRPr="00EB3226">
        <w:rPr>
          <w:szCs w:val="28"/>
        </w:rPr>
        <w:t>Осуществление полномочий в области лесных отношений, на выполнение отдельных полномочий в области водных отношений.</w:t>
      </w:r>
    </w:p>
    <w:p w:rsidR="00554A16" w:rsidRPr="00EB3226" w:rsidRDefault="00554A16" w:rsidP="00EB3226">
      <w:pPr>
        <w:ind w:firstLine="567"/>
        <w:jc w:val="both"/>
        <w:rPr>
          <w:bCs/>
          <w:szCs w:val="28"/>
        </w:rPr>
      </w:pPr>
      <w:r w:rsidRPr="00EB3226">
        <w:rPr>
          <w:szCs w:val="28"/>
        </w:rPr>
        <w:t xml:space="preserve">Обеспечение деятельности органов государственной власти, учреждений, осуществляющих руководство и управление в области сельского хозяйства,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w:t>
      </w:r>
      <w:r w:rsidRPr="00EB3226">
        <w:rPr>
          <w:bCs/>
          <w:szCs w:val="28"/>
        </w:rPr>
        <w:t>обеспечения эпизоотического благополучия на территории Республики Алтай, обеспечения качества и безопасности подконтрольной продукции в ветеринарно-санитарном отношении, обеспечения регионального государственного ветеринарного надзора</w:t>
      </w:r>
      <w:r w:rsidRPr="00EB3226">
        <w:rPr>
          <w:szCs w:val="28"/>
        </w:rPr>
        <w:t xml:space="preserve">, а так же обеспечение деятельности органов государственной власти и учреждений, осуществляющих руководство и управление экономическими вопросами в отдельных секторах экономики, расходы в области туризма и связи. </w:t>
      </w:r>
    </w:p>
    <w:p w:rsidR="00554A16" w:rsidRPr="00EB3226" w:rsidRDefault="00554A16" w:rsidP="00EB3226">
      <w:pPr>
        <w:ind w:firstLine="567"/>
        <w:jc w:val="both"/>
        <w:rPr>
          <w:szCs w:val="28"/>
        </w:rPr>
      </w:pPr>
      <w:r w:rsidRPr="00EB3226">
        <w:rPr>
          <w:szCs w:val="28"/>
        </w:rPr>
        <w:t xml:space="preserve">Расходы, формирующие дорожный фонд, включая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w:t>
      </w:r>
      <w:r w:rsidRPr="00EB3226">
        <w:rPr>
          <w:szCs w:val="28"/>
        </w:rPr>
        <w:lastRenderedPageBreak/>
        <w:t>ремонт и содержание действующей сети автомобильных дорог общего пользования.</w:t>
      </w:r>
    </w:p>
    <w:p w:rsidR="00554A16" w:rsidRPr="00EB3226" w:rsidRDefault="00554A16" w:rsidP="00EB3226">
      <w:pPr>
        <w:ind w:firstLine="567"/>
        <w:rPr>
          <w:szCs w:val="28"/>
          <w:highlight w:val="yellow"/>
        </w:rPr>
      </w:pPr>
    </w:p>
    <w:p w:rsidR="00554A16" w:rsidRPr="00EB3226" w:rsidRDefault="00554A16" w:rsidP="00EB3226">
      <w:pPr>
        <w:ind w:firstLine="567"/>
        <w:jc w:val="both"/>
        <w:rPr>
          <w:i/>
          <w:szCs w:val="28"/>
        </w:rPr>
      </w:pPr>
      <w:r w:rsidRPr="00EB3226">
        <w:rPr>
          <w:i/>
          <w:szCs w:val="28"/>
        </w:rPr>
        <w:t>Раздел 0500 «Жилищно-коммунальное хозяйство»</w:t>
      </w:r>
    </w:p>
    <w:p w:rsidR="00554A16" w:rsidRPr="00EB3226" w:rsidRDefault="00554A16" w:rsidP="00EB3226">
      <w:pPr>
        <w:ind w:firstLine="567"/>
        <w:jc w:val="both"/>
        <w:rPr>
          <w:szCs w:val="28"/>
        </w:rPr>
      </w:pPr>
      <w:r w:rsidRPr="00EB3226">
        <w:rPr>
          <w:szCs w:val="28"/>
        </w:rPr>
        <w:t xml:space="preserve">Расходы по разделу 0500 «Жилищно-коммунальное хозяйство» исполнены в сумме </w:t>
      </w:r>
      <w:r w:rsidR="003A1B98">
        <w:rPr>
          <w:szCs w:val="28"/>
        </w:rPr>
        <w:t>1 371 721,0</w:t>
      </w:r>
      <w:r w:rsidRPr="00EB3226">
        <w:rPr>
          <w:szCs w:val="28"/>
        </w:rPr>
        <w:t xml:space="preserve"> тыс. рублей при уточненном плане </w:t>
      </w:r>
      <w:r w:rsidR="003A1B98">
        <w:rPr>
          <w:szCs w:val="28"/>
        </w:rPr>
        <w:t>1 472 657,5</w:t>
      </w:r>
      <w:r w:rsidRPr="00EB3226">
        <w:rPr>
          <w:szCs w:val="28"/>
        </w:rPr>
        <w:t xml:space="preserve"> тыс. рублей или на </w:t>
      </w:r>
      <w:r w:rsidR="003A1B98">
        <w:rPr>
          <w:szCs w:val="28"/>
        </w:rPr>
        <w:t>93,2</w:t>
      </w:r>
      <w:r w:rsidRPr="00EB3226">
        <w:rPr>
          <w:szCs w:val="28"/>
        </w:rPr>
        <w:t xml:space="preserve"> %, удельный вес расходов раздела составляет </w:t>
      </w:r>
      <w:r w:rsidR="003A1B98">
        <w:rPr>
          <w:szCs w:val="28"/>
        </w:rPr>
        <w:t>4,20</w:t>
      </w:r>
      <w:r w:rsidRPr="00EB3226">
        <w:rPr>
          <w:szCs w:val="28"/>
        </w:rPr>
        <w:t xml:space="preserve"> % в общих расходах. Невысокий уровень исполнения по разделу связано с длительными сроками проведения конкурсных процедур</w:t>
      </w:r>
      <w:r w:rsidR="00D96476">
        <w:rPr>
          <w:szCs w:val="28"/>
        </w:rPr>
        <w:t>,</w:t>
      </w:r>
      <w:r w:rsidRPr="00EB3226">
        <w:rPr>
          <w:szCs w:val="28"/>
        </w:rPr>
        <w:t xml:space="preserve"> отсутствие положительного заключения экспертизы</w:t>
      </w:r>
      <w:r w:rsidR="00D96476">
        <w:rPr>
          <w:szCs w:val="28"/>
        </w:rPr>
        <w:t>, оплата по факту выполнения работ</w:t>
      </w:r>
      <w:r w:rsidRPr="00EB3226">
        <w:rPr>
          <w:szCs w:val="28"/>
        </w:rPr>
        <w:t>. По сравнению с аналогичным периодом 20</w:t>
      </w:r>
      <w:r w:rsidR="00940DDB">
        <w:rPr>
          <w:szCs w:val="28"/>
        </w:rPr>
        <w:t>2</w:t>
      </w:r>
      <w:r w:rsidR="003A1B98">
        <w:rPr>
          <w:szCs w:val="28"/>
        </w:rPr>
        <w:t>1</w:t>
      </w:r>
      <w:r w:rsidRPr="00EB3226">
        <w:rPr>
          <w:szCs w:val="28"/>
        </w:rPr>
        <w:t xml:space="preserve"> г. расходы </w:t>
      </w:r>
      <w:r w:rsidR="003A1B98">
        <w:rPr>
          <w:szCs w:val="28"/>
        </w:rPr>
        <w:t>увеличились</w:t>
      </w:r>
      <w:r w:rsidRPr="00EB3226">
        <w:rPr>
          <w:szCs w:val="28"/>
        </w:rPr>
        <w:t xml:space="preserve">, темп роста составил </w:t>
      </w:r>
      <w:r w:rsidR="003A1B98">
        <w:rPr>
          <w:szCs w:val="28"/>
        </w:rPr>
        <w:t>169,7</w:t>
      </w:r>
      <w:r w:rsidRPr="00EB3226">
        <w:rPr>
          <w:szCs w:val="28"/>
        </w:rPr>
        <w:t xml:space="preserve"> %</w:t>
      </w:r>
      <w:r w:rsidR="003A1B98">
        <w:rPr>
          <w:szCs w:val="28"/>
        </w:rPr>
        <w:t xml:space="preserve"> в связи </w:t>
      </w:r>
      <w:r w:rsidR="003229B6">
        <w:rPr>
          <w:szCs w:val="28"/>
        </w:rPr>
        <w:t>с р</w:t>
      </w:r>
      <w:r w:rsidR="003229B6" w:rsidRPr="003229B6">
        <w:rPr>
          <w:szCs w:val="28"/>
        </w:rPr>
        <w:t>еализаци</w:t>
      </w:r>
      <w:r w:rsidR="003229B6">
        <w:rPr>
          <w:szCs w:val="28"/>
        </w:rPr>
        <w:t>ей</w:t>
      </w:r>
      <w:r w:rsidR="003229B6" w:rsidRPr="003229B6">
        <w:rPr>
          <w:szCs w:val="28"/>
        </w:rPr>
        <w:t xml:space="preserve">  </w:t>
      </w:r>
      <w:r w:rsidR="000E755A">
        <w:rPr>
          <w:szCs w:val="28"/>
        </w:rPr>
        <w:t>и</w:t>
      </w:r>
      <w:r w:rsidR="003229B6" w:rsidRPr="003229B6">
        <w:rPr>
          <w:szCs w:val="28"/>
        </w:rPr>
        <w:t>нфраструктурных проектов в коммунальной сфере  и    обеспечением   мероприятий   по   переселению граждан   из   аварийного   жилищного   фонда,   за   счет средств фонда содействия реформированию жилищно-коммунального хозяйства</w:t>
      </w:r>
      <w:r w:rsidR="003229B6">
        <w:rPr>
          <w:szCs w:val="28"/>
        </w:rPr>
        <w:t>.</w:t>
      </w:r>
    </w:p>
    <w:p w:rsidR="00554A16" w:rsidRPr="00EB3226" w:rsidRDefault="00554A16" w:rsidP="00EB3226">
      <w:pPr>
        <w:pStyle w:val="csdfd3e385"/>
        <w:rPr>
          <w:sz w:val="28"/>
          <w:szCs w:val="28"/>
        </w:rPr>
      </w:pPr>
      <w:r w:rsidRPr="00EB3226">
        <w:rPr>
          <w:sz w:val="28"/>
          <w:szCs w:val="28"/>
        </w:rPr>
        <w:t>По разделу  отражены расходы на обеспечение мероприятий по переселению граждан из аварийного жилищного фонда,</w:t>
      </w:r>
      <w:r w:rsidRPr="00EB3226">
        <w:rPr>
          <w:rStyle w:val="csfc2ac2711"/>
          <w:rFonts w:ascii="Times New Roman" w:hAnsi="Times New Roman"/>
        </w:rPr>
        <w:t xml:space="preserve"> по капитальному ремонту многоквартирных домов, на обеспечение инженерной инфраструктурой земельных участков,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газификации, на строительство и реконструкция (модернизация) объектов питьевого водоснабжения.</w:t>
      </w:r>
    </w:p>
    <w:p w:rsidR="00554A16" w:rsidRPr="00EB3226" w:rsidRDefault="00554A16" w:rsidP="00EB3226">
      <w:pPr>
        <w:ind w:firstLine="567"/>
        <w:jc w:val="both"/>
        <w:rPr>
          <w:szCs w:val="28"/>
          <w:highlight w:val="yellow"/>
        </w:rPr>
      </w:pPr>
    </w:p>
    <w:p w:rsidR="00554A16" w:rsidRPr="00EB3226" w:rsidRDefault="00554A16" w:rsidP="00EB3226">
      <w:pPr>
        <w:ind w:firstLine="567"/>
        <w:jc w:val="both"/>
        <w:rPr>
          <w:i/>
          <w:szCs w:val="28"/>
        </w:rPr>
      </w:pPr>
      <w:r w:rsidRPr="00EB3226">
        <w:rPr>
          <w:i/>
          <w:szCs w:val="28"/>
        </w:rPr>
        <w:t>Раздел 0600 «Охрана окружающей среды»</w:t>
      </w:r>
    </w:p>
    <w:p w:rsidR="00554A16" w:rsidRPr="00EB3226" w:rsidRDefault="00554A16" w:rsidP="00EB3226">
      <w:pPr>
        <w:autoSpaceDE w:val="0"/>
        <w:autoSpaceDN w:val="0"/>
        <w:adjustRightInd w:val="0"/>
        <w:ind w:firstLine="709"/>
        <w:jc w:val="both"/>
        <w:rPr>
          <w:szCs w:val="28"/>
        </w:rPr>
      </w:pPr>
      <w:r w:rsidRPr="00EB3226">
        <w:rPr>
          <w:szCs w:val="28"/>
        </w:rPr>
        <w:t xml:space="preserve">Расходы по разделу 0600 «Охрана окружающей среды» исполнены в сумме </w:t>
      </w:r>
      <w:r w:rsidR="003A1B98">
        <w:rPr>
          <w:szCs w:val="28"/>
        </w:rPr>
        <w:t>59 458,7</w:t>
      </w:r>
      <w:r w:rsidRPr="00EB3226">
        <w:rPr>
          <w:szCs w:val="28"/>
        </w:rPr>
        <w:t xml:space="preserve"> тыс. рублей при уточненном плане </w:t>
      </w:r>
      <w:r w:rsidR="003A1B98">
        <w:rPr>
          <w:szCs w:val="28"/>
        </w:rPr>
        <w:t>59 855,7</w:t>
      </w:r>
      <w:r w:rsidRPr="00EB3226">
        <w:rPr>
          <w:szCs w:val="28"/>
        </w:rPr>
        <w:t xml:space="preserve"> тыс. рублей или исполнено на </w:t>
      </w:r>
      <w:r w:rsidR="003A1B98">
        <w:rPr>
          <w:szCs w:val="28"/>
        </w:rPr>
        <w:t>99,3</w:t>
      </w:r>
      <w:r w:rsidRPr="00EB3226">
        <w:rPr>
          <w:szCs w:val="28"/>
        </w:rPr>
        <w:t xml:space="preserve"> %, удельный вес расходов раздела составляет 0,</w:t>
      </w:r>
      <w:r w:rsidR="00940DDB">
        <w:rPr>
          <w:szCs w:val="28"/>
        </w:rPr>
        <w:t>18</w:t>
      </w:r>
      <w:r w:rsidRPr="00EB3226">
        <w:rPr>
          <w:szCs w:val="28"/>
        </w:rPr>
        <w:t xml:space="preserve"> % в общих расходах. По сравнению с аналогичным периодом 20</w:t>
      </w:r>
      <w:r w:rsidR="00940DDB">
        <w:rPr>
          <w:szCs w:val="28"/>
        </w:rPr>
        <w:t>2</w:t>
      </w:r>
      <w:r w:rsidR="003A1B98">
        <w:rPr>
          <w:szCs w:val="28"/>
        </w:rPr>
        <w:t>1</w:t>
      </w:r>
      <w:r w:rsidRPr="00EB3226">
        <w:rPr>
          <w:szCs w:val="28"/>
        </w:rPr>
        <w:t xml:space="preserve"> г. расходы </w:t>
      </w:r>
      <w:r w:rsidR="003A1B98">
        <w:rPr>
          <w:szCs w:val="28"/>
        </w:rPr>
        <w:t>возросли</w:t>
      </w:r>
      <w:r w:rsidRPr="00EB3226">
        <w:rPr>
          <w:szCs w:val="28"/>
        </w:rPr>
        <w:t xml:space="preserve">, темп роста </w:t>
      </w:r>
      <w:r w:rsidR="00940DDB">
        <w:rPr>
          <w:szCs w:val="28"/>
        </w:rPr>
        <w:t xml:space="preserve"> </w:t>
      </w:r>
      <w:r w:rsidRPr="00EB3226">
        <w:rPr>
          <w:szCs w:val="28"/>
        </w:rPr>
        <w:t xml:space="preserve">составил </w:t>
      </w:r>
      <w:r w:rsidR="003A1B98">
        <w:rPr>
          <w:szCs w:val="28"/>
        </w:rPr>
        <w:t>113,1</w:t>
      </w:r>
      <w:r w:rsidRPr="00EB3226">
        <w:rPr>
          <w:szCs w:val="28"/>
        </w:rPr>
        <w:t xml:space="preserve"> %</w:t>
      </w:r>
      <w:r w:rsidR="003D5DD1">
        <w:rPr>
          <w:szCs w:val="28"/>
        </w:rPr>
        <w:t>, что связано повышением оплаты труда и тарифов на  коммунальные услуги</w:t>
      </w:r>
      <w:r w:rsidRPr="00EB3226">
        <w:rPr>
          <w:szCs w:val="28"/>
        </w:rPr>
        <w:t>.</w:t>
      </w:r>
    </w:p>
    <w:p w:rsidR="00554A16" w:rsidRPr="00EB3226" w:rsidRDefault="00554A16" w:rsidP="00EB3226">
      <w:pPr>
        <w:autoSpaceDE w:val="0"/>
        <w:autoSpaceDN w:val="0"/>
        <w:adjustRightInd w:val="0"/>
        <w:ind w:firstLine="709"/>
        <w:jc w:val="both"/>
        <w:rPr>
          <w:szCs w:val="28"/>
        </w:rPr>
      </w:pPr>
      <w:r w:rsidRPr="00EB3226">
        <w:rPr>
          <w:szCs w:val="28"/>
        </w:rPr>
        <w:t>По разделу отражены расходы по содержанию природных парков и органа исполнительной власти в области охраны окружающей среды, на выполнение переданных полномочий Российской Федерации в области охраны и использования охотничьих ресурсов.</w:t>
      </w:r>
    </w:p>
    <w:p w:rsidR="00554A16" w:rsidRPr="00EB3226" w:rsidRDefault="00554A16" w:rsidP="00EB3226">
      <w:pPr>
        <w:ind w:firstLine="567"/>
        <w:jc w:val="both"/>
        <w:rPr>
          <w:i/>
          <w:szCs w:val="28"/>
        </w:rPr>
      </w:pPr>
    </w:p>
    <w:p w:rsidR="00554A16" w:rsidRPr="00EB3226" w:rsidRDefault="00554A16" w:rsidP="00EB3226">
      <w:pPr>
        <w:ind w:firstLine="567"/>
        <w:jc w:val="both"/>
        <w:rPr>
          <w:i/>
          <w:szCs w:val="28"/>
        </w:rPr>
      </w:pPr>
      <w:r w:rsidRPr="00EB3226">
        <w:rPr>
          <w:i/>
          <w:szCs w:val="28"/>
        </w:rPr>
        <w:t>Раздел 0700 «Образование»</w:t>
      </w:r>
    </w:p>
    <w:p w:rsidR="00554A16" w:rsidRPr="00EB3226" w:rsidRDefault="00554A16" w:rsidP="00EB3226">
      <w:pPr>
        <w:ind w:firstLine="567"/>
        <w:jc w:val="both"/>
        <w:rPr>
          <w:szCs w:val="28"/>
        </w:rPr>
      </w:pPr>
      <w:r w:rsidRPr="00EB3226">
        <w:rPr>
          <w:szCs w:val="28"/>
        </w:rPr>
        <w:t xml:space="preserve">Расходы по разделу 0700 «Образование» исполнены в сумме </w:t>
      </w:r>
      <w:r w:rsidR="003A1B98">
        <w:rPr>
          <w:szCs w:val="28"/>
        </w:rPr>
        <w:t>7</w:t>
      </w:r>
      <w:r w:rsidR="003D5DD1">
        <w:rPr>
          <w:szCs w:val="28"/>
        </w:rPr>
        <w:t> </w:t>
      </w:r>
      <w:r w:rsidR="003A1B98">
        <w:rPr>
          <w:szCs w:val="28"/>
        </w:rPr>
        <w:t>80</w:t>
      </w:r>
      <w:r w:rsidR="003D5DD1">
        <w:rPr>
          <w:szCs w:val="28"/>
        </w:rPr>
        <w:t>6 717,5</w:t>
      </w:r>
      <w:r w:rsidR="00940DDB">
        <w:rPr>
          <w:szCs w:val="28"/>
        </w:rPr>
        <w:t xml:space="preserve"> </w:t>
      </w:r>
      <w:r w:rsidRPr="00EB3226">
        <w:rPr>
          <w:szCs w:val="28"/>
        </w:rPr>
        <w:t xml:space="preserve">тыс. рублей при уточненном плане </w:t>
      </w:r>
      <w:r w:rsidR="003D5DD1">
        <w:rPr>
          <w:szCs w:val="28"/>
        </w:rPr>
        <w:t>7 834 348,0</w:t>
      </w:r>
      <w:r w:rsidRPr="00EB3226">
        <w:rPr>
          <w:szCs w:val="28"/>
        </w:rPr>
        <w:t xml:space="preserve"> тыс. рублей или исполнено на </w:t>
      </w:r>
      <w:r w:rsidR="003D5DD1">
        <w:rPr>
          <w:szCs w:val="28"/>
        </w:rPr>
        <w:t>99,7</w:t>
      </w:r>
      <w:r w:rsidRPr="00EB3226">
        <w:rPr>
          <w:szCs w:val="28"/>
        </w:rPr>
        <w:t xml:space="preserve"> %, удельный вес расходов раздела составляет </w:t>
      </w:r>
      <w:r w:rsidR="003D5DD1">
        <w:rPr>
          <w:szCs w:val="28"/>
        </w:rPr>
        <w:t>23,91</w:t>
      </w:r>
      <w:r w:rsidRPr="00EB3226">
        <w:rPr>
          <w:szCs w:val="28"/>
        </w:rPr>
        <w:t xml:space="preserve"> % в общих расходах. По сравнению с аналогичным периодом 20</w:t>
      </w:r>
      <w:r w:rsidR="00940DDB">
        <w:rPr>
          <w:szCs w:val="28"/>
        </w:rPr>
        <w:t>2</w:t>
      </w:r>
      <w:r w:rsidR="003D5DD1">
        <w:rPr>
          <w:szCs w:val="28"/>
        </w:rPr>
        <w:t>1</w:t>
      </w:r>
      <w:r w:rsidRPr="00EB3226">
        <w:rPr>
          <w:szCs w:val="28"/>
        </w:rPr>
        <w:t xml:space="preserve"> г. расходы у</w:t>
      </w:r>
      <w:r w:rsidR="00940DDB">
        <w:rPr>
          <w:szCs w:val="28"/>
        </w:rPr>
        <w:t>величились</w:t>
      </w:r>
      <w:r w:rsidRPr="00EB3226">
        <w:rPr>
          <w:szCs w:val="28"/>
        </w:rPr>
        <w:t xml:space="preserve">, темп роста составила </w:t>
      </w:r>
      <w:r w:rsidR="00940DDB">
        <w:rPr>
          <w:szCs w:val="28"/>
        </w:rPr>
        <w:t>113,</w:t>
      </w:r>
      <w:r w:rsidR="003D5DD1">
        <w:rPr>
          <w:szCs w:val="28"/>
        </w:rPr>
        <w:t>7</w:t>
      </w:r>
      <w:r w:rsidRPr="00EB3226">
        <w:rPr>
          <w:szCs w:val="28"/>
        </w:rPr>
        <w:t xml:space="preserve"> %</w:t>
      </w:r>
      <w:r w:rsidR="008E22ED" w:rsidRPr="00EB3226">
        <w:rPr>
          <w:szCs w:val="28"/>
        </w:rPr>
        <w:t>, что связано объем</w:t>
      </w:r>
      <w:r w:rsidR="00940DDB">
        <w:rPr>
          <w:szCs w:val="28"/>
        </w:rPr>
        <w:t>ами</w:t>
      </w:r>
      <w:r w:rsidR="008E22ED" w:rsidRPr="00EB3226">
        <w:rPr>
          <w:szCs w:val="28"/>
        </w:rPr>
        <w:t xml:space="preserve"> строительства объектов образования </w:t>
      </w:r>
      <w:r w:rsidR="000228B2" w:rsidRPr="00EB3226">
        <w:rPr>
          <w:szCs w:val="28"/>
        </w:rPr>
        <w:t xml:space="preserve">в </w:t>
      </w:r>
      <w:r w:rsidR="000228B2" w:rsidRPr="00EB3226">
        <w:rPr>
          <w:szCs w:val="28"/>
        </w:rPr>
        <w:lastRenderedPageBreak/>
        <w:t xml:space="preserve">рамках реализации </w:t>
      </w:r>
      <w:r w:rsidRPr="00EB3226">
        <w:rPr>
          <w:szCs w:val="28"/>
        </w:rPr>
        <w:t>национальны</w:t>
      </w:r>
      <w:r w:rsidR="000228B2" w:rsidRPr="00EB3226">
        <w:rPr>
          <w:szCs w:val="28"/>
        </w:rPr>
        <w:t>х</w:t>
      </w:r>
      <w:r w:rsidRPr="00EB3226">
        <w:rPr>
          <w:szCs w:val="28"/>
        </w:rPr>
        <w:t xml:space="preserve"> проект</w:t>
      </w:r>
      <w:r w:rsidR="000228B2" w:rsidRPr="00EB3226">
        <w:rPr>
          <w:szCs w:val="28"/>
        </w:rPr>
        <w:t>ов</w:t>
      </w:r>
      <w:r w:rsidRPr="00EB3226">
        <w:rPr>
          <w:szCs w:val="28"/>
        </w:rPr>
        <w:t xml:space="preserve"> «Демография»</w:t>
      </w:r>
      <w:r w:rsidR="004E7103" w:rsidRPr="00EB3226">
        <w:rPr>
          <w:szCs w:val="28"/>
        </w:rPr>
        <w:t xml:space="preserve"> </w:t>
      </w:r>
      <w:r w:rsidRPr="00EB3226">
        <w:rPr>
          <w:szCs w:val="28"/>
        </w:rPr>
        <w:t>и «Образование</w:t>
      </w:r>
      <w:r w:rsidR="008E22ED" w:rsidRPr="00EB3226">
        <w:rPr>
          <w:szCs w:val="28"/>
        </w:rPr>
        <w:t>»</w:t>
      </w:r>
      <w:r w:rsidR="003D5DD1">
        <w:rPr>
          <w:szCs w:val="28"/>
        </w:rPr>
        <w:t xml:space="preserve"> и повышением оплаты труда</w:t>
      </w:r>
      <w:r w:rsidR="008E22ED" w:rsidRPr="00EB3226">
        <w:rPr>
          <w:szCs w:val="28"/>
        </w:rPr>
        <w:t>.</w:t>
      </w:r>
    </w:p>
    <w:p w:rsidR="00554A16" w:rsidRPr="00EB3226" w:rsidRDefault="00554A16" w:rsidP="00EB3226">
      <w:pPr>
        <w:autoSpaceDE w:val="0"/>
        <w:autoSpaceDN w:val="0"/>
        <w:adjustRightInd w:val="0"/>
        <w:ind w:firstLine="540"/>
        <w:jc w:val="both"/>
        <w:rPr>
          <w:szCs w:val="28"/>
        </w:rPr>
      </w:pPr>
      <w:r w:rsidRPr="00EB3226">
        <w:rPr>
          <w:szCs w:val="28"/>
        </w:rPr>
        <w:t>По данному разделу отражены расходы на обеспечение государственных прав граждан на получение дошкольного образования, общего образования, дополнительного образования, среднее профессионального образования, повышение квалификации и далее.</w:t>
      </w:r>
    </w:p>
    <w:p w:rsidR="00554A16" w:rsidRPr="00EB3226" w:rsidRDefault="00554A16" w:rsidP="00EB3226">
      <w:pPr>
        <w:ind w:firstLine="567"/>
        <w:jc w:val="both"/>
        <w:rPr>
          <w:szCs w:val="28"/>
        </w:rPr>
      </w:pPr>
      <w:r w:rsidRPr="00EB3226">
        <w:rPr>
          <w:szCs w:val="28"/>
        </w:rPr>
        <w:t xml:space="preserve">Реализация всех ступеней образования осуществляется в соответствии с федеральным законодательством, законодательством Республики Алтай в рамках государственной программы Республики Алтай «Развитие образования». Основная доля </w:t>
      </w:r>
      <w:r w:rsidR="003D5DD1">
        <w:rPr>
          <w:szCs w:val="28"/>
        </w:rPr>
        <w:t>82,9</w:t>
      </w:r>
      <w:r w:rsidRPr="00EB3226">
        <w:rPr>
          <w:szCs w:val="28"/>
        </w:rPr>
        <w:t xml:space="preserve"> % расходов по разделу приходится на общее образование. </w:t>
      </w:r>
    </w:p>
    <w:p w:rsidR="00554A16" w:rsidRPr="00EB3226" w:rsidRDefault="00554A16" w:rsidP="00EB3226">
      <w:pPr>
        <w:ind w:firstLine="567"/>
        <w:jc w:val="both"/>
        <w:rPr>
          <w:szCs w:val="28"/>
          <w:highlight w:val="yellow"/>
        </w:rPr>
      </w:pPr>
    </w:p>
    <w:p w:rsidR="00554A16" w:rsidRPr="00EB3226" w:rsidRDefault="00554A16" w:rsidP="00EB3226">
      <w:pPr>
        <w:ind w:firstLine="567"/>
        <w:jc w:val="both"/>
        <w:rPr>
          <w:i/>
          <w:szCs w:val="28"/>
        </w:rPr>
      </w:pPr>
      <w:r w:rsidRPr="00EB3226">
        <w:rPr>
          <w:i/>
          <w:szCs w:val="28"/>
        </w:rPr>
        <w:t>Раздел 0800 «Культура, кинематография»</w:t>
      </w:r>
    </w:p>
    <w:p w:rsidR="00554A16" w:rsidRPr="00EB3226" w:rsidRDefault="00554A16" w:rsidP="00EB3226">
      <w:pPr>
        <w:ind w:firstLine="709"/>
        <w:jc w:val="both"/>
        <w:rPr>
          <w:color w:val="000000"/>
          <w:szCs w:val="28"/>
        </w:rPr>
      </w:pPr>
      <w:r w:rsidRPr="00EB3226">
        <w:rPr>
          <w:szCs w:val="28"/>
        </w:rPr>
        <w:t>Расходы по разделу 0800 «Культура, кинематография</w:t>
      </w:r>
      <w:r w:rsidRPr="00EB3226">
        <w:rPr>
          <w:i/>
          <w:szCs w:val="28"/>
        </w:rPr>
        <w:t xml:space="preserve">» </w:t>
      </w:r>
      <w:r w:rsidRPr="00EB3226">
        <w:rPr>
          <w:szCs w:val="28"/>
        </w:rPr>
        <w:t xml:space="preserve">исполнены в сумме </w:t>
      </w:r>
      <w:r w:rsidR="003D5DD1">
        <w:rPr>
          <w:szCs w:val="28"/>
        </w:rPr>
        <w:t>435 396,0</w:t>
      </w:r>
      <w:r w:rsidRPr="00EB3226">
        <w:rPr>
          <w:szCs w:val="28"/>
        </w:rPr>
        <w:t xml:space="preserve"> тыс. рублей при уточненном плане </w:t>
      </w:r>
      <w:r w:rsidR="003D5DD1">
        <w:rPr>
          <w:szCs w:val="28"/>
        </w:rPr>
        <w:t>443 187,7</w:t>
      </w:r>
      <w:r w:rsidRPr="00EB3226">
        <w:rPr>
          <w:szCs w:val="28"/>
        </w:rPr>
        <w:t xml:space="preserve"> тыс. рублей или исполнено на </w:t>
      </w:r>
      <w:r w:rsidR="003D5DD1">
        <w:rPr>
          <w:szCs w:val="28"/>
        </w:rPr>
        <w:t>98,2</w:t>
      </w:r>
      <w:r w:rsidRPr="00EB3226">
        <w:rPr>
          <w:szCs w:val="28"/>
        </w:rPr>
        <w:t xml:space="preserve"> %, удельный вес расходов раздела составляет </w:t>
      </w:r>
      <w:r w:rsidR="00940DDB">
        <w:rPr>
          <w:szCs w:val="28"/>
        </w:rPr>
        <w:t>1,</w:t>
      </w:r>
      <w:r w:rsidR="003D5DD1">
        <w:rPr>
          <w:szCs w:val="28"/>
        </w:rPr>
        <w:t>33</w:t>
      </w:r>
      <w:r w:rsidRPr="00EB3226">
        <w:rPr>
          <w:szCs w:val="28"/>
        </w:rPr>
        <w:t xml:space="preserve"> % в общих расходах. По сравнению с аналогичным периодом 20</w:t>
      </w:r>
      <w:r w:rsidR="00940DDB">
        <w:rPr>
          <w:szCs w:val="28"/>
        </w:rPr>
        <w:t>2</w:t>
      </w:r>
      <w:r w:rsidR="003D5DD1">
        <w:rPr>
          <w:szCs w:val="28"/>
        </w:rPr>
        <w:t>1</w:t>
      </w:r>
      <w:r w:rsidRPr="00EB3226">
        <w:rPr>
          <w:szCs w:val="28"/>
        </w:rPr>
        <w:t xml:space="preserve"> г. расходы у</w:t>
      </w:r>
      <w:r w:rsidR="003D5DD1">
        <w:rPr>
          <w:szCs w:val="28"/>
        </w:rPr>
        <w:t>меньшились</w:t>
      </w:r>
      <w:r w:rsidRPr="00EB3226">
        <w:rPr>
          <w:szCs w:val="28"/>
        </w:rPr>
        <w:t>, темп</w:t>
      </w:r>
      <w:r w:rsidR="003D5DD1">
        <w:rPr>
          <w:szCs w:val="28"/>
        </w:rPr>
        <w:t xml:space="preserve"> снижения </w:t>
      </w:r>
      <w:r w:rsidRPr="00EB3226">
        <w:rPr>
          <w:szCs w:val="28"/>
        </w:rPr>
        <w:t xml:space="preserve"> роста составил </w:t>
      </w:r>
      <w:r w:rsidR="003D5DD1">
        <w:rPr>
          <w:szCs w:val="28"/>
        </w:rPr>
        <w:t>81,2</w:t>
      </w:r>
      <w:r w:rsidR="00940DDB">
        <w:rPr>
          <w:szCs w:val="28"/>
        </w:rPr>
        <w:t>%</w:t>
      </w:r>
      <w:r w:rsidRPr="00EB3226">
        <w:rPr>
          <w:szCs w:val="28"/>
        </w:rPr>
        <w:t xml:space="preserve"> в связи </w:t>
      </w:r>
      <w:r w:rsidR="003D5DD1">
        <w:rPr>
          <w:szCs w:val="28"/>
        </w:rPr>
        <w:t xml:space="preserve">со снижением субсидий </w:t>
      </w:r>
      <w:r w:rsidRPr="00EB3226">
        <w:rPr>
          <w:szCs w:val="28"/>
        </w:rPr>
        <w:t xml:space="preserve"> из федерального бюджета</w:t>
      </w:r>
      <w:r w:rsidR="00940DDB">
        <w:rPr>
          <w:szCs w:val="28"/>
        </w:rPr>
        <w:t xml:space="preserve"> на реализацию н</w:t>
      </w:r>
      <w:r w:rsidR="003D5DD1">
        <w:rPr>
          <w:szCs w:val="28"/>
        </w:rPr>
        <w:t>ационального проекта «Культура»</w:t>
      </w:r>
      <w:r w:rsidR="009D6E63" w:rsidRPr="009D6E63">
        <w:t xml:space="preserve"> </w:t>
      </w:r>
      <w:r w:rsidR="009D6E63" w:rsidRPr="009D6E63">
        <w:rPr>
          <w:szCs w:val="28"/>
        </w:rPr>
        <w:t>на развитие сети учреждений культурно-досугового типа</w:t>
      </w:r>
      <w:r w:rsidR="003D5DD1">
        <w:rPr>
          <w:szCs w:val="28"/>
        </w:rPr>
        <w:t>.</w:t>
      </w:r>
    </w:p>
    <w:p w:rsidR="00554A16" w:rsidRPr="00EB3226" w:rsidRDefault="00554A16" w:rsidP="00EB3226">
      <w:pPr>
        <w:pStyle w:val="ConsPlusNormal"/>
        <w:widowControl/>
        <w:ind w:firstLine="567"/>
        <w:jc w:val="both"/>
        <w:rPr>
          <w:rFonts w:ascii="Times New Roman" w:hAnsi="Times New Roman" w:cs="Times New Roman"/>
          <w:sz w:val="28"/>
          <w:szCs w:val="28"/>
        </w:rPr>
      </w:pPr>
      <w:r w:rsidRPr="00EB3226">
        <w:rPr>
          <w:rFonts w:ascii="Times New Roman" w:hAnsi="Times New Roman" w:cs="Times New Roman"/>
          <w:bCs/>
          <w:spacing w:val="-5"/>
          <w:w w:val="101"/>
          <w:sz w:val="28"/>
          <w:szCs w:val="28"/>
        </w:rPr>
        <w:t xml:space="preserve">По разделу отражены </w:t>
      </w:r>
      <w:r w:rsidRPr="00EB3226">
        <w:rPr>
          <w:rFonts w:ascii="Times New Roman" w:hAnsi="Times New Roman" w:cs="Times New Roman"/>
          <w:sz w:val="28"/>
          <w:szCs w:val="28"/>
        </w:rPr>
        <w:t xml:space="preserve">расходы на предоставление услуг в сфере культуры, обеспечение деятельности учреждений культуры (библиотек, музеев, театров, агентств), управление объектами, предназначенными для культурных целей, организацию, проведение или поддержку культурных мероприятий, а также предоставление грантов, премий для поддержки отдельных артистов, писателей, художников, композиторов или организаций, занимающихся культурной деятельностью. </w:t>
      </w:r>
    </w:p>
    <w:p w:rsidR="00554A16" w:rsidRPr="00EB3226" w:rsidRDefault="00554A16" w:rsidP="00EB3226">
      <w:pPr>
        <w:ind w:firstLine="567"/>
        <w:jc w:val="both"/>
        <w:rPr>
          <w:i/>
          <w:szCs w:val="28"/>
          <w:highlight w:val="yellow"/>
        </w:rPr>
      </w:pPr>
    </w:p>
    <w:p w:rsidR="00554A16" w:rsidRPr="00EB3226" w:rsidRDefault="00554A16" w:rsidP="00EB3226">
      <w:pPr>
        <w:ind w:firstLine="567"/>
        <w:jc w:val="both"/>
        <w:rPr>
          <w:i/>
          <w:szCs w:val="28"/>
        </w:rPr>
      </w:pPr>
      <w:r w:rsidRPr="00EB3226">
        <w:rPr>
          <w:i/>
          <w:szCs w:val="28"/>
        </w:rPr>
        <w:t>Раздел 0900 «Здравоохранение»</w:t>
      </w:r>
    </w:p>
    <w:p w:rsidR="003D5DD1" w:rsidRDefault="00554A16" w:rsidP="00EB3226">
      <w:pPr>
        <w:ind w:firstLine="709"/>
        <w:jc w:val="both"/>
        <w:rPr>
          <w:bCs/>
          <w:spacing w:val="-5"/>
          <w:w w:val="101"/>
          <w:szCs w:val="28"/>
        </w:rPr>
      </w:pPr>
      <w:r w:rsidRPr="00EB3226">
        <w:rPr>
          <w:szCs w:val="28"/>
        </w:rPr>
        <w:t>Расходы по разделу 0900 «Здравоохранение» исполнены в сумме</w:t>
      </w:r>
      <w:r w:rsidR="00526156">
        <w:rPr>
          <w:szCs w:val="28"/>
        </w:rPr>
        <w:t xml:space="preserve"> </w:t>
      </w:r>
      <w:r w:rsidR="003D5DD1">
        <w:rPr>
          <w:szCs w:val="28"/>
        </w:rPr>
        <w:t>1 853 963,3</w:t>
      </w:r>
      <w:r w:rsidRPr="00EB3226">
        <w:rPr>
          <w:szCs w:val="28"/>
        </w:rPr>
        <w:t xml:space="preserve"> тыс. рублей при уточненном плане </w:t>
      </w:r>
      <w:r w:rsidR="003D5DD1">
        <w:rPr>
          <w:szCs w:val="28"/>
        </w:rPr>
        <w:t>1 878 332,8</w:t>
      </w:r>
      <w:r w:rsidRPr="00EB3226">
        <w:rPr>
          <w:szCs w:val="28"/>
        </w:rPr>
        <w:t xml:space="preserve"> тыс. рублей или на </w:t>
      </w:r>
      <w:r w:rsidR="003D5DD1">
        <w:rPr>
          <w:szCs w:val="28"/>
        </w:rPr>
        <w:t>98,7</w:t>
      </w:r>
      <w:r w:rsidRPr="00EB3226">
        <w:rPr>
          <w:szCs w:val="28"/>
        </w:rPr>
        <w:t xml:space="preserve"> %, удельный вес расходов раздела составляет </w:t>
      </w:r>
      <w:r w:rsidR="003D5DD1">
        <w:rPr>
          <w:szCs w:val="28"/>
        </w:rPr>
        <w:t>5,68</w:t>
      </w:r>
      <w:r w:rsidRPr="00EB3226">
        <w:rPr>
          <w:szCs w:val="28"/>
        </w:rPr>
        <w:t xml:space="preserve"> % в общих расходах. По сравнению с аналогичным периодом 20</w:t>
      </w:r>
      <w:r w:rsidR="0004242A">
        <w:rPr>
          <w:szCs w:val="28"/>
        </w:rPr>
        <w:t>2</w:t>
      </w:r>
      <w:r w:rsidR="003D5DD1">
        <w:rPr>
          <w:szCs w:val="28"/>
        </w:rPr>
        <w:t>1</w:t>
      </w:r>
      <w:r w:rsidRPr="00EB3226">
        <w:rPr>
          <w:szCs w:val="28"/>
        </w:rPr>
        <w:t xml:space="preserve"> г. расходы </w:t>
      </w:r>
      <w:r w:rsidR="00A445FA" w:rsidRPr="00EB3226">
        <w:rPr>
          <w:szCs w:val="28"/>
        </w:rPr>
        <w:t>у</w:t>
      </w:r>
      <w:r w:rsidR="0004242A">
        <w:rPr>
          <w:szCs w:val="28"/>
        </w:rPr>
        <w:t>меньшились</w:t>
      </w:r>
      <w:r w:rsidR="00A445FA" w:rsidRPr="00EB3226">
        <w:rPr>
          <w:szCs w:val="28"/>
        </w:rPr>
        <w:t>,</w:t>
      </w:r>
      <w:r w:rsidRPr="00EB3226">
        <w:rPr>
          <w:szCs w:val="28"/>
        </w:rPr>
        <w:t xml:space="preserve"> темп </w:t>
      </w:r>
      <w:r w:rsidR="00A445FA" w:rsidRPr="00EB3226">
        <w:rPr>
          <w:szCs w:val="28"/>
        </w:rPr>
        <w:t xml:space="preserve">роста </w:t>
      </w:r>
      <w:r w:rsidR="0004242A">
        <w:rPr>
          <w:szCs w:val="28"/>
        </w:rPr>
        <w:t xml:space="preserve">(снижения) </w:t>
      </w:r>
      <w:r w:rsidR="00A445FA" w:rsidRPr="00EB3226">
        <w:rPr>
          <w:szCs w:val="28"/>
        </w:rPr>
        <w:t>составил</w:t>
      </w:r>
      <w:r w:rsidRPr="00EB3226">
        <w:rPr>
          <w:szCs w:val="28"/>
        </w:rPr>
        <w:t xml:space="preserve"> </w:t>
      </w:r>
      <w:r w:rsidR="003D5DD1">
        <w:rPr>
          <w:szCs w:val="28"/>
        </w:rPr>
        <w:t>68,8</w:t>
      </w:r>
      <w:r w:rsidRPr="00EB3226">
        <w:rPr>
          <w:szCs w:val="28"/>
        </w:rPr>
        <w:t xml:space="preserve"> %</w:t>
      </w:r>
      <w:r w:rsidR="0004242A">
        <w:rPr>
          <w:szCs w:val="28"/>
        </w:rPr>
        <w:t>,</w:t>
      </w:r>
      <w:r w:rsidRPr="00EB3226">
        <w:rPr>
          <w:szCs w:val="28"/>
        </w:rPr>
        <w:t xml:space="preserve"> в связи</w:t>
      </w:r>
      <w:r w:rsidR="0004242A">
        <w:rPr>
          <w:szCs w:val="28"/>
        </w:rPr>
        <w:t xml:space="preserve"> с сокращением </w:t>
      </w:r>
      <w:r w:rsidR="0004242A" w:rsidRPr="00EB3226">
        <w:rPr>
          <w:szCs w:val="28"/>
        </w:rPr>
        <w:t xml:space="preserve">расходов </w:t>
      </w:r>
      <w:r w:rsidR="0004242A">
        <w:rPr>
          <w:szCs w:val="28"/>
        </w:rPr>
        <w:t>на</w:t>
      </w:r>
      <w:r w:rsidR="0004242A" w:rsidRPr="00EB3226">
        <w:rPr>
          <w:szCs w:val="28"/>
        </w:rPr>
        <w:t xml:space="preserve"> борьб</w:t>
      </w:r>
      <w:r w:rsidR="0004242A">
        <w:rPr>
          <w:szCs w:val="28"/>
        </w:rPr>
        <w:t>у</w:t>
      </w:r>
      <w:r w:rsidR="0004242A" w:rsidRPr="00EB3226">
        <w:rPr>
          <w:szCs w:val="28"/>
        </w:rPr>
        <w:t xml:space="preserve"> с </w:t>
      </w:r>
      <w:proofErr w:type="spellStart"/>
      <w:r w:rsidR="0004242A" w:rsidRPr="00EB3226">
        <w:rPr>
          <w:szCs w:val="28"/>
        </w:rPr>
        <w:t>коронавирусной</w:t>
      </w:r>
      <w:proofErr w:type="spellEnd"/>
      <w:r w:rsidR="0004242A" w:rsidRPr="00EB3226">
        <w:rPr>
          <w:szCs w:val="28"/>
        </w:rPr>
        <w:t xml:space="preserve"> инфекцией</w:t>
      </w:r>
      <w:r w:rsidR="0004242A" w:rsidRPr="0004242A">
        <w:rPr>
          <w:szCs w:val="28"/>
        </w:rPr>
        <w:t xml:space="preserve"> </w:t>
      </w:r>
      <w:r w:rsidR="003D5DD1">
        <w:rPr>
          <w:szCs w:val="28"/>
        </w:rPr>
        <w:t xml:space="preserve">и </w:t>
      </w:r>
      <w:r w:rsidR="003D5DD1">
        <w:rPr>
          <w:bCs/>
          <w:spacing w:val="-5"/>
          <w:w w:val="101"/>
          <w:szCs w:val="28"/>
        </w:rPr>
        <w:t>уменьшением объемов иных  межбюджетных трансфертов из федерального бюджета территориальному  фонду обязательного медицинского страхования</w:t>
      </w:r>
      <w:r w:rsidR="003229B6">
        <w:rPr>
          <w:bCs/>
          <w:spacing w:val="-5"/>
          <w:w w:val="101"/>
          <w:szCs w:val="28"/>
        </w:rPr>
        <w:t xml:space="preserve"> на </w:t>
      </w:r>
      <w:r w:rsidR="003229B6" w:rsidRPr="003229B6">
        <w:rPr>
          <w:bCs/>
          <w:spacing w:val="-5"/>
          <w:w w:val="101"/>
          <w:szCs w:val="28"/>
        </w:rPr>
        <w:t xml:space="preserve"> организаци</w:t>
      </w:r>
      <w:r w:rsidR="003229B6">
        <w:rPr>
          <w:bCs/>
          <w:spacing w:val="-5"/>
          <w:w w:val="101"/>
          <w:szCs w:val="28"/>
        </w:rPr>
        <w:t>ю</w:t>
      </w:r>
      <w:r w:rsidR="003229B6" w:rsidRPr="003229B6">
        <w:rPr>
          <w:bCs/>
          <w:spacing w:val="-5"/>
          <w:w w:val="101"/>
          <w:szCs w:val="28"/>
        </w:rPr>
        <w:t xml:space="preserve"> оказания медицинской помощи  гражданам заболевших новой </w:t>
      </w:r>
      <w:proofErr w:type="spellStart"/>
      <w:r w:rsidR="003229B6" w:rsidRPr="003229B6">
        <w:rPr>
          <w:bCs/>
          <w:spacing w:val="-5"/>
          <w:w w:val="101"/>
          <w:szCs w:val="28"/>
        </w:rPr>
        <w:t>коронавирусной</w:t>
      </w:r>
      <w:proofErr w:type="spellEnd"/>
      <w:r w:rsidR="003229B6" w:rsidRPr="003229B6">
        <w:rPr>
          <w:bCs/>
          <w:spacing w:val="-5"/>
          <w:w w:val="101"/>
          <w:szCs w:val="28"/>
        </w:rPr>
        <w:t xml:space="preserve"> инфекцией, углубленной диспансеризацией, а также  стимулированием  мед</w:t>
      </w:r>
      <w:r w:rsidR="003229B6">
        <w:rPr>
          <w:bCs/>
          <w:spacing w:val="-5"/>
          <w:w w:val="101"/>
          <w:szCs w:val="28"/>
        </w:rPr>
        <w:t xml:space="preserve">ицинских </w:t>
      </w:r>
      <w:r w:rsidR="003229B6" w:rsidRPr="003229B6">
        <w:rPr>
          <w:bCs/>
          <w:spacing w:val="-5"/>
          <w:w w:val="101"/>
          <w:szCs w:val="28"/>
        </w:rPr>
        <w:t>работников, участвующим в проведении вакцинации взрослого населения</w:t>
      </w:r>
      <w:r w:rsidR="003D5DD1">
        <w:rPr>
          <w:bCs/>
          <w:spacing w:val="-5"/>
          <w:w w:val="101"/>
          <w:szCs w:val="28"/>
        </w:rPr>
        <w:t xml:space="preserve">. </w:t>
      </w:r>
    </w:p>
    <w:p w:rsidR="00554A16" w:rsidRPr="00EB3226" w:rsidRDefault="00554A16" w:rsidP="00EB3226">
      <w:pPr>
        <w:ind w:firstLine="709"/>
        <w:jc w:val="both"/>
        <w:rPr>
          <w:szCs w:val="28"/>
        </w:rPr>
      </w:pPr>
      <w:r w:rsidRPr="00EB3226">
        <w:rPr>
          <w:bCs/>
          <w:spacing w:val="-5"/>
          <w:w w:val="101"/>
          <w:szCs w:val="28"/>
        </w:rPr>
        <w:t xml:space="preserve">По разделу отражены </w:t>
      </w:r>
      <w:r w:rsidRPr="00EB3226">
        <w:rPr>
          <w:szCs w:val="28"/>
        </w:rPr>
        <w:t xml:space="preserve">расходы на предоставление медицинских услуг в медицинских организациях стационарах, амбулаториях, станциях переливания крови, в организациях судебно-медицинской экспертизы, центрах медицины и катастроф и СПИД, и других организациях системы здравоохранения за счет средств бюджета. </w:t>
      </w:r>
      <w:r w:rsidR="00056B3C">
        <w:rPr>
          <w:szCs w:val="28"/>
        </w:rPr>
        <w:t xml:space="preserve">Расходы на реализацию региональных проектов в рамках </w:t>
      </w:r>
      <w:r w:rsidR="00056B3C">
        <w:rPr>
          <w:szCs w:val="28"/>
        </w:rPr>
        <w:lastRenderedPageBreak/>
        <w:t xml:space="preserve">национального проекта «Здравоохранение». </w:t>
      </w:r>
      <w:r w:rsidRPr="00EB3226">
        <w:rPr>
          <w:szCs w:val="28"/>
        </w:rPr>
        <w:t xml:space="preserve">Кроме того, по разделу отражены расходы на проведение капитального ремонта и осуществление бюджетных инвестиций в объекты здравоохранения. </w:t>
      </w:r>
    </w:p>
    <w:p w:rsidR="00554A16" w:rsidRPr="00EB3226" w:rsidRDefault="00554A16" w:rsidP="00EB3226">
      <w:pPr>
        <w:ind w:firstLine="709"/>
        <w:jc w:val="both"/>
        <w:rPr>
          <w:szCs w:val="28"/>
          <w:highlight w:val="yellow"/>
        </w:rPr>
      </w:pPr>
    </w:p>
    <w:p w:rsidR="00554A16" w:rsidRPr="00EB3226" w:rsidRDefault="00554A16" w:rsidP="00EB3226">
      <w:pPr>
        <w:autoSpaceDE w:val="0"/>
        <w:autoSpaceDN w:val="0"/>
        <w:adjustRightInd w:val="0"/>
        <w:ind w:firstLine="567"/>
        <w:jc w:val="both"/>
        <w:rPr>
          <w:i/>
          <w:szCs w:val="28"/>
        </w:rPr>
      </w:pPr>
      <w:r w:rsidRPr="00EB3226">
        <w:rPr>
          <w:i/>
          <w:szCs w:val="28"/>
        </w:rPr>
        <w:t xml:space="preserve">Раздел 1000 «Социальная политика» </w:t>
      </w:r>
    </w:p>
    <w:p w:rsidR="000F04D2" w:rsidRPr="000F04D2" w:rsidRDefault="00554A16" w:rsidP="00056B3C">
      <w:pPr>
        <w:ind w:firstLine="567"/>
        <w:jc w:val="both"/>
        <w:rPr>
          <w:color w:val="000000" w:themeColor="text1"/>
          <w:szCs w:val="28"/>
        </w:rPr>
      </w:pPr>
      <w:r w:rsidRPr="00EB3226">
        <w:rPr>
          <w:szCs w:val="28"/>
        </w:rPr>
        <w:t>Расходы по разделу 1000 «Социальная политика»</w:t>
      </w:r>
      <w:r w:rsidRPr="00EB3226">
        <w:rPr>
          <w:i/>
          <w:szCs w:val="28"/>
        </w:rPr>
        <w:t xml:space="preserve"> </w:t>
      </w:r>
      <w:r w:rsidRPr="00EB3226">
        <w:rPr>
          <w:szCs w:val="28"/>
        </w:rPr>
        <w:t xml:space="preserve">исполнены в сумме </w:t>
      </w:r>
      <w:r w:rsidR="00ED4C3B">
        <w:rPr>
          <w:szCs w:val="28"/>
        </w:rPr>
        <w:t>6800</w:t>
      </w:r>
      <w:r w:rsidR="009D6E63">
        <w:rPr>
          <w:szCs w:val="28"/>
        </w:rPr>
        <w:t>440,4</w:t>
      </w:r>
      <w:r w:rsidRPr="00EB3226">
        <w:rPr>
          <w:szCs w:val="28"/>
        </w:rPr>
        <w:t xml:space="preserve"> тыс. рублей при уточненном плане </w:t>
      </w:r>
      <w:r w:rsidR="009D6E63">
        <w:rPr>
          <w:szCs w:val="28"/>
        </w:rPr>
        <w:t>6 997 827,2</w:t>
      </w:r>
      <w:r w:rsidRPr="00EB3226">
        <w:rPr>
          <w:szCs w:val="28"/>
        </w:rPr>
        <w:t xml:space="preserve"> тыс. рублей или исполнено на </w:t>
      </w:r>
      <w:r w:rsidR="00056B3C">
        <w:rPr>
          <w:szCs w:val="28"/>
        </w:rPr>
        <w:t>97,</w:t>
      </w:r>
      <w:r w:rsidR="009D6E63">
        <w:rPr>
          <w:szCs w:val="28"/>
        </w:rPr>
        <w:t>2</w:t>
      </w:r>
      <w:r w:rsidRPr="00EB3226">
        <w:rPr>
          <w:szCs w:val="28"/>
        </w:rPr>
        <w:t xml:space="preserve"> %, </w:t>
      </w:r>
      <w:r w:rsidR="00224E5F">
        <w:rPr>
          <w:szCs w:val="28"/>
        </w:rPr>
        <w:t>в связи с о</w:t>
      </w:r>
      <w:r w:rsidR="00224E5F" w:rsidRPr="00224E5F">
        <w:rPr>
          <w:szCs w:val="28"/>
        </w:rPr>
        <w:t>тсутствие потребности по мерам социальной поддержки, длительные сроки конкурсных процедур, сроки оплаты по  контрактам на строительство домов детям сиротам в 2023 году, целевой остаток.</w:t>
      </w:r>
      <w:r w:rsidR="00224E5F" w:rsidRPr="00EB3226">
        <w:rPr>
          <w:szCs w:val="28"/>
        </w:rPr>
        <w:t xml:space="preserve"> </w:t>
      </w:r>
      <w:r w:rsidR="00224E5F">
        <w:rPr>
          <w:szCs w:val="28"/>
        </w:rPr>
        <w:t>У</w:t>
      </w:r>
      <w:r w:rsidRPr="00EB3226">
        <w:rPr>
          <w:szCs w:val="28"/>
        </w:rPr>
        <w:t xml:space="preserve">дельный вес расходов раздела составляет </w:t>
      </w:r>
      <w:r w:rsidR="009D6E63">
        <w:rPr>
          <w:szCs w:val="28"/>
        </w:rPr>
        <w:t>20,83</w:t>
      </w:r>
      <w:r w:rsidRPr="00EB3226">
        <w:rPr>
          <w:szCs w:val="28"/>
        </w:rPr>
        <w:t xml:space="preserve"> % в общих расходах. По сравнению с аналогичным периодом 20</w:t>
      </w:r>
      <w:r w:rsidR="00056B3C">
        <w:rPr>
          <w:szCs w:val="28"/>
        </w:rPr>
        <w:t>2</w:t>
      </w:r>
      <w:r w:rsidR="009D6E63">
        <w:rPr>
          <w:szCs w:val="28"/>
        </w:rPr>
        <w:t>1</w:t>
      </w:r>
      <w:r w:rsidRPr="00EB3226">
        <w:rPr>
          <w:szCs w:val="28"/>
        </w:rPr>
        <w:t xml:space="preserve"> г. расходы увеличились, темп роста составил 1</w:t>
      </w:r>
      <w:r w:rsidR="009D6E63">
        <w:rPr>
          <w:szCs w:val="28"/>
        </w:rPr>
        <w:t>13,7</w:t>
      </w:r>
      <w:r w:rsidR="003455FD" w:rsidRPr="00EB3226">
        <w:rPr>
          <w:szCs w:val="28"/>
        </w:rPr>
        <w:t xml:space="preserve"> %</w:t>
      </w:r>
      <w:r w:rsidR="00C84DA9">
        <w:rPr>
          <w:szCs w:val="28"/>
        </w:rPr>
        <w:t xml:space="preserve"> </w:t>
      </w:r>
      <w:r w:rsidR="00C84DA9" w:rsidRPr="000F04D2">
        <w:rPr>
          <w:color w:val="000000" w:themeColor="text1"/>
          <w:szCs w:val="28"/>
        </w:rPr>
        <w:t xml:space="preserve">в связи с осуществлением </w:t>
      </w:r>
      <w:r w:rsidR="000F04D2" w:rsidRPr="000F04D2">
        <w:rPr>
          <w:color w:val="000000" w:themeColor="text1"/>
          <w:szCs w:val="28"/>
        </w:rPr>
        <w:t xml:space="preserve">ежемесячных выплат на детей в возрасте от трех до семи лет включительно за счет средств резервного фонда Правительства Российской Федерации, с увеличением объемов  ежемесячной денежной выплаты, назначаемой в случае рождения третьего ребенка или последующих детей до достижения ребенком возраста трех лет , а также с предоставлением мер социальной поддержки отдельным категориям граждан, участвующим в проведении специальной военной операции на территории Донецкой Народной Республики, Луганской Народной Республики и Украины и членам их семей. </w:t>
      </w:r>
    </w:p>
    <w:p w:rsidR="00554A16" w:rsidRPr="00EB3226" w:rsidRDefault="00554A16" w:rsidP="00EB3226">
      <w:pPr>
        <w:autoSpaceDE w:val="0"/>
        <w:autoSpaceDN w:val="0"/>
        <w:adjustRightInd w:val="0"/>
        <w:ind w:firstLine="567"/>
        <w:jc w:val="both"/>
        <w:rPr>
          <w:szCs w:val="28"/>
        </w:rPr>
      </w:pPr>
      <w:r w:rsidRPr="00EB3226">
        <w:rPr>
          <w:szCs w:val="28"/>
        </w:rPr>
        <w:t>По данному разделу отражены расходы на социальное обслуживание населения в учреждениях социальной защиты</w:t>
      </w:r>
      <w:r w:rsidR="00056B3C">
        <w:rPr>
          <w:szCs w:val="28"/>
        </w:rPr>
        <w:t>,</w:t>
      </w:r>
      <w:r w:rsidRPr="00EB3226">
        <w:rPr>
          <w:szCs w:val="28"/>
        </w:rPr>
        <w:t xml:space="preserve"> на оказание мер социальной поддержки населения</w:t>
      </w:r>
      <w:r w:rsidR="00056B3C">
        <w:rPr>
          <w:szCs w:val="28"/>
        </w:rPr>
        <w:t xml:space="preserve"> и расходы на реализацию национального проекта «Демография»</w:t>
      </w:r>
      <w:r w:rsidRPr="00EB3226">
        <w:rPr>
          <w:szCs w:val="28"/>
        </w:rPr>
        <w:t xml:space="preserve">. </w:t>
      </w:r>
    </w:p>
    <w:p w:rsidR="00554A16" w:rsidRPr="00EB3226" w:rsidRDefault="00554A16" w:rsidP="00EB3226">
      <w:pPr>
        <w:pStyle w:val="a7"/>
        <w:tabs>
          <w:tab w:val="left" w:pos="700"/>
        </w:tabs>
        <w:rPr>
          <w:sz w:val="28"/>
          <w:szCs w:val="28"/>
        </w:rPr>
      </w:pPr>
      <w:r w:rsidRPr="00EB3226">
        <w:rPr>
          <w:sz w:val="28"/>
          <w:szCs w:val="28"/>
        </w:rPr>
        <w:t>Мерами социальной поддержки охвачено более 141,3 тысяч человек, указанные меры социальной поддержки населения реализуются максимально с учетом возможностей применение критериев нуждаемости и адресности.</w:t>
      </w:r>
    </w:p>
    <w:p w:rsidR="00CD6A1B" w:rsidRPr="00E25236" w:rsidRDefault="00CD6A1B" w:rsidP="00CD6A1B">
      <w:pPr>
        <w:ind w:firstLine="567"/>
        <w:jc w:val="both"/>
        <w:rPr>
          <w:szCs w:val="28"/>
        </w:rPr>
      </w:pPr>
      <w:r w:rsidRPr="00E25236">
        <w:rPr>
          <w:szCs w:val="28"/>
        </w:rPr>
        <w:t>Страховой взнос на обязательное медицинское страхование неработающего населения на территории Республики Алтай в 20</w:t>
      </w:r>
      <w:r>
        <w:rPr>
          <w:szCs w:val="28"/>
        </w:rPr>
        <w:t>2</w:t>
      </w:r>
      <w:r w:rsidR="00C04DCD">
        <w:rPr>
          <w:szCs w:val="28"/>
        </w:rPr>
        <w:t>2</w:t>
      </w:r>
      <w:r w:rsidRPr="00E25236">
        <w:rPr>
          <w:szCs w:val="28"/>
        </w:rPr>
        <w:t xml:space="preserve"> году составила</w:t>
      </w:r>
      <w:r>
        <w:rPr>
          <w:szCs w:val="28"/>
        </w:rPr>
        <w:t xml:space="preserve">   1</w:t>
      </w:r>
      <w:r w:rsidR="00C04DCD">
        <w:rPr>
          <w:szCs w:val="28"/>
        </w:rPr>
        <w:t> 776 569,7</w:t>
      </w:r>
      <w:r w:rsidRPr="00EB3226">
        <w:rPr>
          <w:szCs w:val="28"/>
        </w:rPr>
        <w:t xml:space="preserve"> тыс. рублей или </w:t>
      </w:r>
      <w:r>
        <w:rPr>
          <w:szCs w:val="28"/>
        </w:rPr>
        <w:t>100,0</w:t>
      </w:r>
      <w:r w:rsidRPr="00EB3226">
        <w:rPr>
          <w:szCs w:val="28"/>
        </w:rPr>
        <w:t xml:space="preserve">% к плану, с темпом роста </w:t>
      </w:r>
      <w:r>
        <w:rPr>
          <w:szCs w:val="28"/>
        </w:rPr>
        <w:t>1</w:t>
      </w:r>
      <w:r w:rsidR="00C04DCD">
        <w:rPr>
          <w:szCs w:val="28"/>
        </w:rPr>
        <w:t>15,0</w:t>
      </w:r>
      <w:r w:rsidRPr="00EB3226">
        <w:rPr>
          <w:szCs w:val="28"/>
        </w:rPr>
        <w:t xml:space="preserve"> % к исполнению за 20</w:t>
      </w:r>
      <w:r>
        <w:rPr>
          <w:szCs w:val="28"/>
        </w:rPr>
        <w:t>2</w:t>
      </w:r>
      <w:r w:rsidR="00C04DCD">
        <w:rPr>
          <w:szCs w:val="28"/>
        </w:rPr>
        <w:t>1</w:t>
      </w:r>
      <w:r w:rsidRPr="00EB3226">
        <w:rPr>
          <w:szCs w:val="28"/>
        </w:rPr>
        <w:t xml:space="preserve"> год</w:t>
      </w:r>
      <w:r>
        <w:rPr>
          <w:szCs w:val="28"/>
        </w:rPr>
        <w:t>,</w:t>
      </w:r>
      <w:r w:rsidRPr="00E25236">
        <w:rPr>
          <w:szCs w:val="28"/>
        </w:rPr>
        <w:t xml:space="preserve"> за счет увеличения численности неработающих граждан</w:t>
      </w:r>
      <w:r w:rsidR="00C04DCD">
        <w:rPr>
          <w:szCs w:val="28"/>
        </w:rPr>
        <w:t xml:space="preserve"> и  тарифа</w:t>
      </w:r>
      <w:r w:rsidRPr="00E25236">
        <w:rPr>
          <w:szCs w:val="28"/>
        </w:rPr>
        <w:t>.</w:t>
      </w:r>
    </w:p>
    <w:p w:rsidR="00CD6A1B" w:rsidRDefault="00CD6A1B" w:rsidP="00EB3226">
      <w:pPr>
        <w:autoSpaceDE w:val="0"/>
        <w:autoSpaceDN w:val="0"/>
        <w:adjustRightInd w:val="0"/>
        <w:ind w:firstLine="567"/>
        <w:jc w:val="both"/>
        <w:rPr>
          <w:i/>
          <w:szCs w:val="28"/>
        </w:rPr>
      </w:pPr>
    </w:p>
    <w:p w:rsidR="00554A16" w:rsidRPr="00EB3226" w:rsidRDefault="00554A16" w:rsidP="00EB3226">
      <w:pPr>
        <w:autoSpaceDE w:val="0"/>
        <w:autoSpaceDN w:val="0"/>
        <w:adjustRightInd w:val="0"/>
        <w:ind w:firstLine="567"/>
        <w:jc w:val="both"/>
        <w:rPr>
          <w:i/>
          <w:szCs w:val="28"/>
        </w:rPr>
      </w:pPr>
      <w:r w:rsidRPr="00EB3226">
        <w:rPr>
          <w:i/>
          <w:szCs w:val="28"/>
        </w:rPr>
        <w:t>Раздел 1100 «Физическая культура и спорт»</w:t>
      </w:r>
    </w:p>
    <w:p w:rsidR="00974859" w:rsidRPr="00E25236" w:rsidRDefault="00554A16" w:rsidP="00974859">
      <w:pPr>
        <w:ind w:firstLine="567"/>
        <w:jc w:val="both"/>
        <w:rPr>
          <w:i/>
          <w:szCs w:val="28"/>
        </w:rPr>
      </w:pPr>
      <w:r w:rsidRPr="00EB3226">
        <w:rPr>
          <w:szCs w:val="28"/>
        </w:rPr>
        <w:t xml:space="preserve">Расходы по разделу 1100 «Физическая культура и спорт» исполнены в сумме </w:t>
      </w:r>
      <w:r w:rsidR="00C04DCD">
        <w:rPr>
          <w:szCs w:val="28"/>
        </w:rPr>
        <w:t>526 652,2</w:t>
      </w:r>
      <w:r w:rsidRPr="00EB3226">
        <w:rPr>
          <w:szCs w:val="28"/>
        </w:rPr>
        <w:t xml:space="preserve"> тыс. рублей при уточненном плане </w:t>
      </w:r>
      <w:r w:rsidR="00C04DCD">
        <w:rPr>
          <w:szCs w:val="28"/>
        </w:rPr>
        <w:t>526 736,5</w:t>
      </w:r>
      <w:r w:rsidRPr="00EB3226">
        <w:rPr>
          <w:szCs w:val="28"/>
        </w:rPr>
        <w:t xml:space="preserve"> тыс. рублей или исполнено на </w:t>
      </w:r>
      <w:r w:rsidR="00CD6A1B">
        <w:rPr>
          <w:szCs w:val="28"/>
        </w:rPr>
        <w:t>99,</w:t>
      </w:r>
      <w:r w:rsidR="00C04DCD">
        <w:rPr>
          <w:szCs w:val="28"/>
        </w:rPr>
        <w:t>98</w:t>
      </w:r>
      <w:r w:rsidRPr="00EB3226">
        <w:rPr>
          <w:szCs w:val="28"/>
        </w:rPr>
        <w:t xml:space="preserve"> %, </w:t>
      </w:r>
      <w:r w:rsidR="003455FD" w:rsidRPr="00EB3226">
        <w:rPr>
          <w:szCs w:val="28"/>
        </w:rPr>
        <w:t xml:space="preserve">удельный вес расходов раздела составляет </w:t>
      </w:r>
      <w:r w:rsidR="00CD6A1B">
        <w:rPr>
          <w:szCs w:val="28"/>
        </w:rPr>
        <w:t>1,</w:t>
      </w:r>
      <w:r w:rsidR="00C04DCD">
        <w:rPr>
          <w:szCs w:val="28"/>
        </w:rPr>
        <w:t>61</w:t>
      </w:r>
      <w:r w:rsidR="003455FD" w:rsidRPr="00EB3226">
        <w:rPr>
          <w:szCs w:val="28"/>
        </w:rPr>
        <w:t xml:space="preserve"> % в общих расходах. По</w:t>
      </w:r>
      <w:r w:rsidRPr="00EB3226">
        <w:rPr>
          <w:szCs w:val="28"/>
        </w:rPr>
        <w:t xml:space="preserve"> сравнению с аналогичным периодом 20</w:t>
      </w:r>
      <w:r w:rsidR="00CD6A1B">
        <w:rPr>
          <w:szCs w:val="28"/>
        </w:rPr>
        <w:t>2</w:t>
      </w:r>
      <w:r w:rsidR="00C04DCD">
        <w:rPr>
          <w:szCs w:val="28"/>
        </w:rPr>
        <w:t>1</w:t>
      </w:r>
      <w:r w:rsidRPr="00EB3226">
        <w:rPr>
          <w:szCs w:val="28"/>
        </w:rPr>
        <w:t xml:space="preserve"> г. расходы у</w:t>
      </w:r>
      <w:r w:rsidR="00CD6A1B">
        <w:rPr>
          <w:szCs w:val="28"/>
        </w:rPr>
        <w:t>величились</w:t>
      </w:r>
      <w:r w:rsidRPr="00EB3226">
        <w:rPr>
          <w:szCs w:val="28"/>
        </w:rPr>
        <w:t xml:space="preserve">, темп роста составил </w:t>
      </w:r>
      <w:r w:rsidR="00CD6A1B">
        <w:rPr>
          <w:szCs w:val="28"/>
        </w:rPr>
        <w:t>1</w:t>
      </w:r>
      <w:r w:rsidR="00C04DCD">
        <w:rPr>
          <w:szCs w:val="28"/>
        </w:rPr>
        <w:t>38,7</w:t>
      </w:r>
      <w:r w:rsidRPr="00EB3226">
        <w:rPr>
          <w:szCs w:val="28"/>
        </w:rPr>
        <w:t xml:space="preserve">%, в связи </w:t>
      </w:r>
      <w:r w:rsidR="00974859">
        <w:rPr>
          <w:szCs w:val="28"/>
        </w:rPr>
        <w:t xml:space="preserve">осуществлением бюджетных инвестиций в рамках </w:t>
      </w:r>
      <w:r w:rsidR="003455FD" w:rsidRPr="00EB3226">
        <w:rPr>
          <w:szCs w:val="28"/>
        </w:rPr>
        <w:t xml:space="preserve">национального проекта «Демография»,  по региональному проекту «Спорт норма жизни» </w:t>
      </w:r>
      <w:r w:rsidR="00974859">
        <w:rPr>
          <w:szCs w:val="28"/>
        </w:rPr>
        <w:t xml:space="preserve">на строительство  </w:t>
      </w:r>
      <w:proofErr w:type="spellStart"/>
      <w:r w:rsidR="00974859">
        <w:rPr>
          <w:szCs w:val="28"/>
        </w:rPr>
        <w:t>физкультурно</w:t>
      </w:r>
      <w:proofErr w:type="spellEnd"/>
      <w:r w:rsidR="00974859">
        <w:rPr>
          <w:szCs w:val="28"/>
        </w:rPr>
        <w:t xml:space="preserve"> – оздоровительных комплексов,  доля расходов на </w:t>
      </w:r>
      <w:r w:rsidR="00C04DCD">
        <w:rPr>
          <w:szCs w:val="28"/>
        </w:rPr>
        <w:t xml:space="preserve">капитальные вложения объекты спорта </w:t>
      </w:r>
      <w:r w:rsidR="00974859">
        <w:rPr>
          <w:szCs w:val="28"/>
        </w:rPr>
        <w:t xml:space="preserve">  составляет </w:t>
      </w:r>
      <w:r w:rsidR="00C04DCD">
        <w:rPr>
          <w:szCs w:val="28"/>
        </w:rPr>
        <w:t>51,5</w:t>
      </w:r>
      <w:r w:rsidR="00974859">
        <w:rPr>
          <w:szCs w:val="28"/>
        </w:rPr>
        <w:t xml:space="preserve"> % в расходах на физическую культуру спорт.</w:t>
      </w:r>
    </w:p>
    <w:p w:rsidR="00554A16" w:rsidRPr="00EB3226" w:rsidRDefault="00554A16" w:rsidP="00EB3226">
      <w:pPr>
        <w:ind w:firstLine="567"/>
        <w:jc w:val="both"/>
        <w:rPr>
          <w:szCs w:val="28"/>
        </w:rPr>
      </w:pPr>
    </w:p>
    <w:p w:rsidR="00554A16" w:rsidRPr="00EB3226" w:rsidRDefault="00554A16" w:rsidP="00EB3226">
      <w:pPr>
        <w:autoSpaceDE w:val="0"/>
        <w:autoSpaceDN w:val="0"/>
        <w:adjustRightInd w:val="0"/>
        <w:ind w:firstLine="567"/>
        <w:jc w:val="both"/>
        <w:rPr>
          <w:szCs w:val="28"/>
        </w:rPr>
      </w:pPr>
      <w:r w:rsidRPr="00EB3226">
        <w:rPr>
          <w:szCs w:val="28"/>
        </w:rPr>
        <w:lastRenderedPageBreak/>
        <w:t xml:space="preserve">По данному разделу отражены расходы республиканского бюджета Республики Алтай направленные на организацию официальных региональных и межмуниципальных физкультурно-оздоровительных и спортивных мероприятий, </w:t>
      </w:r>
      <w:r w:rsidR="00974859">
        <w:rPr>
          <w:szCs w:val="28"/>
        </w:rPr>
        <w:t xml:space="preserve">на реализацию </w:t>
      </w:r>
      <w:r w:rsidR="00974859" w:rsidRPr="00EB3226">
        <w:rPr>
          <w:szCs w:val="28"/>
        </w:rPr>
        <w:t>национального проекта «Демография»</w:t>
      </w:r>
      <w:r w:rsidR="00974859">
        <w:rPr>
          <w:szCs w:val="28"/>
        </w:rPr>
        <w:t xml:space="preserve">, </w:t>
      </w:r>
      <w:r w:rsidRPr="00EB3226">
        <w:rPr>
          <w:szCs w:val="28"/>
        </w:rPr>
        <w:t xml:space="preserve">программ и проектов в области физической культуры и спорта. Подготовка спортивных сборных команд по различным видам спорта: проведение учебно-тренировочного процесса и учебно-тренировочных сборов, участие спортсменов сборных команд по различным видам спорта на всероссийских и международных соревнованиях, обеспечение членов сборных команд Республики Алтай спортивным оборудованием и инвентарем. </w:t>
      </w:r>
    </w:p>
    <w:p w:rsidR="00554A16" w:rsidRPr="00EB3226" w:rsidRDefault="00554A16" w:rsidP="00EB3226">
      <w:pPr>
        <w:autoSpaceDE w:val="0"/>
        <w:autoSpaceDN w:val="0"/>
        <w:adjustRightInd w:val="0"/>
        <w:ind w:firstLine="567"/>
        <w:jc w:val="both"/>
        <w:rPr>
          <w:szCs w:val="28"/>
          <w:highlight w:val="yellow"/>
        </w:rPr>
      </w:pPr>
    </w:p>
    <w:p w:rsidR="00554A16" w:rsidRPr="00EB3226" w:rsidRDefault="00554A16" w:rsidP="00EB3226">
      <w:pPr>
        <w:ind w:firstLine="567"/>
        <w:jc w:val="both"/>
        <w:rPr>
          <w:i/>
          <w:szCs w:val="28"/>
        </w:rPr>
      </w:pPr>
      <w:r w:rsidRPr="00EB3226">
        <w:rPr>
          <w:i/>
          <w:szCs w:val="28"/>
        </w:rPr>
        <w:t>Раздел 1200 «Средства массовой информации»</w:t>
      </w:r>
    </w:p>
    <w:p w:rsidR="00554A16" w:rsidRPr="00EB3226" w:rsidRDefault="00554A16" w:rsidP="00EB3226">
      <w:pPr>
        <w:ind w:firstLine="567"/>
        <w:jc w:val="both"/>
        <w:rPr>
          <w:szCs w:val="28"/>
        </w:rPr>
      </w:pPr>
      <w:r w:rsidRPr="00EB3226">
        <w:rPr>
          <w:szCs w:val="28"/>
        </w:rPr>
        <w:t>Расходы по разделу 1200 «Средства массовой информации»</w:t>
      </w:r>
      <w:r w:rsidRPr="00EB3226">
        <w:rPr>
          <w:i/>
          <w:szCs w:val="28"/>
        </w:rPr>
        <w:t xml:space="preserve"> </w:t>
      </w:r>
      <w:r w:rsidRPr="00EB3226">
        <w:rPr>
          <w:szCs w:val="28"/>
        </w:rPr>
        <w:t xml:space="preserve">исполнены в сумме </w:t>
      </w:r>
      <w:r w:rsidR="00C04DCD">
        <w:rPr>
          <w:szCs w:val="28"/>
        </w:rPr>
        <w:t>38020,3</w:t>
      </w:r>
      <w:r w:rsidRPr="00EB3226">
        <w:rPr>
          <w:szCs w:val="28"/>
        </w:rPr>
        <w:t xml:space="preserve"> тыс. рублей при уточненном плане </w:t>
      </w:r>
      <w:r w:rsidR="00C04DCD">
        <w:rPr>
          <w:szCs w:val="28"/>
        </w:rPr>
        <w:t>38020,3</w:t>
      </w:r>
      <w:r w:rsidRPr="00EB3226">
        <w:rPr>
          <w:szCs w:val="28"/>
        </w:rPr>
        <w:t xml:space="preserve"> тыс. рублей или исполнено на 100,0 %, удельный вес расходов раздела составляет 0,</w:t>
      </w:r>
      <w:r w:rsidR="00C04DCD">
        <w:rPr>
          <w:szCs w:val="28"/>
        </w:rPr>
        <w:t>12</w:t>
      </w:r>
      <w:r w:rsidRPr="00EB3226">
        <w:rPr>
          <w:szCs w:val="28"/>
        </w:rPr>
        <w:t xml:space="preserve"> % в общих расходах. По сравнению с аналогичным периодом 20</w:t>
      </w:r>
      <w:r w:rsidR="00974859">
        <w:rPr>
          <w:szCs w:val="28"/>
        </w:rPr>
        <w:t>2</w:t>
      </w:r>
      <w:r w:rsidR="00C04DCD">
        <w:rPr>
          <w:szCs w:val="28"/>
        </w:rPr>
        <w:t>1</w:t>
      </w:r>
      <w:r w:rsidRPr="00EB3226">
        <w:rPr>
          <w:szCs w:val="28"/>
        </w:rPr>
        <w:t xml:space="preserve"> г. расходы</w:t>
      </w:r>
      <w:r w:rsidR="00C04DCD">
        <w:rPr>
          <w:szCs w:val="28"/>
        </w:rPr>
        <w:t xml:space="preserve"> возросли</w:t>
      </w:r>
      <w:r w:rsidR="00A445FA" w:rsidRPr="00EB3226">
        <w:rPr>
          <w:szCs w:val="28"/>
        </w:rPr>
        <w:t>,</w:t>
      </w:r>
      <w:r w:rsidRPr="00EB3226">
        <w:rPr>
          <w:szCs w:val="28"/>
        </w:rPr>
        <w:t xml:space="preserve"> темп роста </w:t>
      </w:r>
      <w:r w:rsidR="00974859">
        <w:rPr>
          <w:szCs w:val="28"/>
        </w:rPr>
        <w:t xml:space="preserve"> </w:t>
      </w:r>
      <w:r w:rsidRPr="00EB3226">
        <w:rPr>
          <w:szCs w:val="28"/>
        </w:rPr>
        <w:t xml:space="preserve">составил </w:t>
      </w:r>
      <w:r w:rsidR="00C04DCD">
        <w:rPr>
          <w:szCs w:val="28"/>
        </w:rPr>
        <w:t>132,5</w:t>
      </w:r>
      <w:r w:rsidRPr="00EB3226">
        <w:rPr>
          <w:szCs w:val="28"/>
        </w:rPr>
        <w:t xml:space="preserve"> %</w:t>
      </w:r>
      <w:r w:rsidR="00A35E7B" w:rsidRPr="00EB3226">
        <w:rPr>
          <w:szCs w:val="28"/>
        </w:rPr>
        <w:t xml:space="preserve">, в связи </w:t>
      </w:r>
      <w:r w:rsidR="00974859">
        <w:rPr>
          <w:szCs w:val="28"/>
        </w:rPr>
        <w:t xml:space="preserve">с </w:t>
      </w:r>
      <w:r w:rsidR="00C04DCD">
        <w:rPr>
          <w:szCs w:val="28"/>
        </w:rPr>
        <w:t xml:space="preserve">ростом  </w:t>
      </w:r>
      <w:r w:rsidR="00ED4C3B">
        <w:rPr>
          <w:szCs w:val="28"/>
        </w:rPr>
        <w:t>минимального</w:t>
      </w:r>
      <w:r w:rsidR="00C04DCD">
        <w:rPr>
          <w:szCs w:val="28"/>
        </w:rPr>
        <w:t xml:space="preserve"> размера оплаты труда и  повышением  тарифов на  коммунальные услуги</w:t>
      </w:r>
      <w:r w:rsidRPr="00EB3226">
        <w:rPr>
          <w:szCs w:val="28"/>
        </w:rPr>
        <w:t>.</w:t>
      </w:r>
    </w:p>
    <w:p w:rsidR="00554A16" w:rsidRPr="00EB3226" w:rsidRDefault="00554A16" w:rsidP="00EB3226">
      <w:pPr>
        <w:autoSpaceDE w:val="0"/>
        <w:autoSpaceDN w:val="0"/>
        <w:adjustRightInd w:val="0"/>
        <w:ind w:firstLine="567"/>
        <w:jc w:val="both"/>
        <w:outlineLvl w:val="4"/>
        <w:rPr>
          <w:szCs w:val="28"/>
        </w:rPr>
      </w:pPr>
      <w:r w:rsidRPr="00EB3226">
        <w:rPr>
          <w:szCs w:val="28"/>
        </w:rPr>
        <w:t>По разделу отражаются расходы на поддержку средств массовой информации, учрежденных органами государственной власти.</w:t>
      </w:r>
    </w:p>
    <w:p w:rsidR="00554A16" w:rsidRPr="00EB3226" w:rsidRDefault="00554A16" w:rsidP="00EB3226">
      <w:pPr>
        <w:autoSpaceDE w:val="0"/>
        <w:autoSpaceDN w:val="0"/>
        <w:adjustRightInd w:val="0"/>
        <w:ind w:firstLine="567"/>
        <w:jc w:val="both"/>
        <w:rPr>
          <w:szCs w:val="28"/>
        </w:rPr>
      </w:pPr>
      <w:r w:rsidRPr="00EB3226">
        <w:rPr>
          <w:szCs w:val="28"/>
        </w:rPr>
        <w:t>В соответствии со Сводным перечнем государственных услуг - это опубликование принятых нормативных правовых актов Республики Алтай, муниципальных образований, опубликование в средствах массовой информации сообщений и материалов о деятельности органов государственной власти Республики Алтай и принимаемых ими решений.</w:t>
      </w:r>
    </w:p>
    <w:p w:rsidR="00554A16" w:rsidRPr="00EB3226" w:rsidRDefault="00554A16" w:rsidP="00EB3226">
      <w:pPr>
        <w:ind w:firstLine="567"/>
        <w:jc w:val="both"/>
        <w:rPr>
          <w:i/>
          <w:szCs w:val="28"/>
          <w:highlight w:val="yellow"/>
        </w:rPr>
      </w:pPr>
    </w:p>
    <w:p w:rsidR="00554A16" w:rsidRPr="00EB3226" w:rsidRDefault="00554A16" w:rsidP="00EB3226">
      <w:pPr>
        <w:ind w:firstLine="567"/>
        <w:jc w:val="both"/>
        <w:rPr>
          <w:i/>
          <w:szCs w:val="28"/>
        </w:rPr>
      </w:pPr>
      <w:r w:rsidRPr="00EB3226">
        <w:rPr>
          <w:i/>
          <w:szCs w:val="28"/>
        </w:rPr>
        <w:t>Раздел 1300 «Обслуживание государственного и муниципального долга»</w:t>
      </w:r>
    </w:p>
    <w:p w:rsidR="00EC539B" w:rsidRDefault="00554A16" w:rsidP="00EB3226">
      <w:pPr>
        <w:ind w:firstLine="567"/>
        <w:jc w:val="both"/>
        <w:rPr>
          <w:szCs w:val="28"/>
        </w:rPr>
      </w:pPr>
      <w:r w:rsidRPr="00EB3226">
        <w:rPr>
          <w:szCs w:val="28"/>
        </w:rPr>
        <w:t>Расходы по разделу 1300 «Обслуживание государственного и муниципального долга»</w:t>
      </w:r>
      <w:r w:rsidRPr="00EB3226">
        <w:rPr>
          <w:i/>
          <w:szCs w:val="28"/>
        </w:rPr>
        <w:t xml:space="preserve"> </w:t>
      </w:r>
      <w:r w:rsidRPr="00EB3226">
        <w:rPr>
          <w:szCs w:val="28"/>
        </w:rPr>
        <w:t xml:space="preserve">исполнены в сумме </w:t>
      </w:r>
      <w:r w:rsidR="00C04DCD">
        <w:rPr>
          <w:szCs w:val="28"/>
        </w:rPr>
        <w:t>5908,9</w:t>
      </w:r>
      <w:r w:rsidRPr="00EB3226">
        <w:rPr>
          <w:szCs w:val="28"/>
        </w:rPr>
        <w:t xml:space="preserve"> тыс. рублей при уточненном плане </w:t>
      </w:r>
      <w:r w:rsidR="00C04DCD">
        <w:rPr>
          <w:szCs w:val="28"/>
        </w:rPr>
        <w:t>7 934</w:t>
      </w:r>
      <w:r w:rsidR="00974859">
        <w:rPr>
          <w:szCs w:val="28"/>
        </w:rPr>
        <w:t>,0</w:t>
      </w:r>
      <w:r w:rsidRPr="00EB3226">
        <w:rPr>
          <w:szCs w:val="28"/>
        </w:rPr>
        <w:t xml:space="preserve"> тыс. рублей или исполнено на </w:t>
      </w:r>
      <w:r w:rsidR="00C04DCD">
        <w:rPr>
          <w:szCs w:val="28"/>
        </w:rPr>
        <w:t>74,5</w:t>
      </w:r>
      <w:r w:rsidR="00974859">
        <w:rPr>
          <w:szCs w:val="28"/>
        </w:rPr>
        <w:t>0</w:t>
      </w:r>
      <w:r w:rsidRPr="00EB3226">
        <w:rPr>
          <w:szCs w:val="28"/>
        </w:rPr>
        <w:t xml:space="preserve"> %</w:t>
      </w:r>
      <w:r w:rsidR="00D3084E">
        <w:rPr>
          <w:szCs w:val="28"/>
        </w:rPr>
        <w:t>.</w:t>
      </w:r>
      <w:r w:rsidRPr="00EB3226">
        <w:rPr>
          <w:szCs w:val="28"/>
        </w:rPr>
        <w:t xml:space="preserve"> </w:t>
      </w:r>
      <w:r w:rsidR="00D3084E" w:rsidRPr="00D3084E">
        <w:rPr>
          <w:szCs w:val="28"/>
        </w:rPr>
        <w:t>Сложилась экономия в связи со снижением ключевой ставки ЦБ  России с 20 до 7,5% и привлечением   коммерческих кредитов  более поздние сроки, чем планировали.</w:t>
      </w:r>
      <w:r w:rsidR="00D3084E">
        <w:rPr>
          <w:szCs w:val="28"/>
        </w:rPr>
        <w:t xml:space="preserve">  У</w:t>
      </w:r>
      <w:r w:rsidR="00D3084E" w:rsidRPr="00EB3226">
        <w:rPr>
          <w:szCs w:val="28"/>
        </w:rPr>
        <w:t>дельный вес расходов раздела составляет 0,0</w:t>
      </w:r>
      <w:r w:rsidR="00D3084E">
        <w:rPr>
          <w:szCs w:val="28"/>
        </w:rPr>
        <w:t>2</w:t>
      </w:r>
      <w:r w:rsidR="00D3084E" w:rsidRPr="00EB3226">
        <w:rPr>
          <w:szCs w:val="28"/>
        </w:rPr>
        <w:t xml:space="preserve"> % в общих расходах. </w:t>
      </w:r>
      <w:r w:rsidRPr="00EB3226">
        <w:rPr>
          <w:szCs w:val="28"/>
        </w:rPr>
        <w:t>По сравнению с аналогичным периодом 20</w:t>
      </w:r>
      <w:r w:rsidR="00974859">
        <w:rPr>
          <w:szCs w:val="28"/>
        </w:rPr>
        <w:t>2</w:t>
      </w:r>
      <w:r w:rsidR="00EC539B">
        <w:rPr>
          <w:szCs w:val="28"/>
        </w:rPr>
        <w:t>1</w:t>
      </w:r>
      <w:r w:rsidRPr="00EB3226">
        <w:rPr>
          <w:szCs w:val="28"/>
        </w:rPr>
        <w:t xml:space="preserve"> г. расходы </w:t>
      </w:r>
      <w:r w:rsidR="00974859" w:rsidRPr="00EB3226">
        <w:rPr>
          <w:szCs w:val="28"/>
        </w:rPr>
        <w:t>у</w:t>
      </w:r>
      <w:r w:rsidR="00974859">
        <w:rPr>
          <w:szCs w:val="28"/>
        </w:rPr>
        <w:t>величились</w:t>
      </w:r>
      <w:r w:rsidRPr="00EB3226">
        <w:rPr>
          <w:szCs w:val="28"/>
        </w:rPr>
        <w:t xml:space="preserve">, темп </w:t>
      </w:r>
      <w:r w:rsidR="00A445FA" w:rsidRPr="00EB3226">
        <w:rPr>
          <w:szCs w:val="28"/>
        </w:rPr>
        <w:t xml:space="preserve">роста </w:t>
      </w:r>
      <w:r w:rsidRPr="00EB3226">
        <w:rPr>
          <w:szCs w:val="28"/>
        </w:rPr>
        <w:t xml:space="preserve">составил </w:t>
      </w:r>
      <w:r w:rsidR="00974859">
        <w:rPr>
          <w:szCs w:val="28"/>
        </w:rPr>
        <w:t>1</w:t>
      </w:r>
      <w:r w:rsidR="00EC539B">
        <w:rPr>
          <w:szCs w:val="28"/>
        </w:rPr>
        <w:t>32,5</w:t>
      </w:r>
      <w:r w:rsidR="00A35E7B" w:rsidRPr="00EB3226">
        <w:rPr>
          <w:szCs w:val="28"/>
        </w:rPr>
        <w:t xml:space="preserve"> %</w:t>
      </w:r>
      <w:r w:rsidR="00EC539B">
        <w:rPr>
          <w:szCs w:val="28"/>
        </w:rPr>
        <w:t>.</w:t>
      </w:r>
      <w:r w:rsidR="00A35E7B" w:rsidRPr="00EB3226">
        <w:rPr>
          <w:szCs w:val="28"/>
        </w:rPr>
        <w:t xml:space="preserve"> </w:t>
      </w:r>
      <w:r w:rsidR="00EC539B" w:rsidRPr="00EC539B">
        <w:rPr>
          <w:szCs w:val="28"/>
        </w:rPr>
        <w:t>Расходы на обслуживание внутреннего долга  возросли с привлечением инфраструктурных кредито</w:t>
      </w:r>
      <w:r w:rsidR="00EC539B">
        <w:rPr>
          <w:szCs w:val="28"/>
        </w:rPr>
        <w:t>в.</w:t>
      </w:r>
    </w:p>
    <w:p w:rsidR="00554A16" w:rsidRDefault="00554A16" w:rsidP="00EB3226">
      <w:pPr>
        <w:ind w:firstLine="567"/>
        <w:jc w:val="both"/>
        <w:rPr>
          <w:szCs w:val="28"/>
        </w:rPr>
      </w:pPr>
      <w:r w:rsidRPr="00EB3226">
        <w:rPr>
          <w:szCs w:val="28"/>
        </w:rPr>
        <w:t>Формирование и исполнение расходов по данному разделу определяется соблюдением условий Бюджетного кодекса Российской Федерации по предельному объему расходов на обслуживание государственного и муниципального долга.</w:t>
      </w:r>
    </w:p>
    <w:p w:rsidR="00C004CB" w:rsidRDefault="00C004CB" w:rsidP="000005BE">
      <w:pPr>
        <w:ind w:firstLine="567"/>
        <w:jc w:val="both"/>
        <w:rPr>
          <w:i/>
          <w:szCs w:val="28"/>
        </w:rPr>
      </w:pPr>
    </w:p>
    <w:p w:rsidR="000005BE" w:rsidRDefault="000005BE" w:rsidP="000005BE">
      <w:pPr>
        <w:ind w:firstLine="567"/>
        <w:jc w:val="both"/>
        <w:rPr>
          <w:szCs w:val="28"/>
        </w:rPr>
      </w:pPr>
      <w:r w:rsidRPr="00EB3226">
        <w:rPr>
          <w:i/>
          <w:szCs w:val="28"/>
        </w:rPr>
        <w:t>Раздел 1</w:t>
      </w:r>
      <w:r w:rsidR="00CC7FA9">
        <w:rPr>
          <w:i/>
          <w:szCs w:val="28"/>
        </w:rPr>
        <w:t>4</w:t>
      </w:r>
      <w:r w:rsidRPr="00EB3226">
        <w:rPr>
          <w:i/>
          <w:szCs w:val="28"/>
        </w:rPr>
        <w:t>00 «</w:t>
      </w:r>
      <w:r w:rsidR="00CC7FA9">
        <w:rPr>
          <w:i/>
          <w:szCs w:val="28"/>
        </w:rPr>
        <w:t>Межбюджетные трансферты общего характера бюджетам бюджетной системы Российской Федерации</w:t>
      </w:r>
      <w:r w:rsidRPr="00EB3226">
        <w:rPr>
          <w:i/>
          <w:szCs w:val="28"/>
        </w:rPr>
        <w:t>»</w:t>
      </w:r>
      <w:r w:rsidR="000E755A">
        <w:rPr>
          <w:i/>
          <w:szCs w:val="28"/>
        </w:rPr>
        <w:t xml:space="preserve"> </w:t>
      </w:r>
      <w:r w:rsidRPr="00EB3226">
        <w:rPr>
          <w:szCs w:val="28"/>
        </w:rPr>
        <w:t xml:space="preserve">Расходы по разделу </w:t>
      </w:r>
      <w:r w:rsidR="00CC7FA9">
        <w:rPr>
          <w:szCs w:val="28"/>
        </w:rPr>
        <w:t>14</w:t>
      </w:r>
      <w:r w:rsidRPr="00EB3226">
        <w:rPr>
          <w:szCs w:val="28"/>
        </w:rPr>
        <w:t xml:space="preserve">00 </w:t>
      </w:r>
      <w:r w:rsidR="00CC7FA9" w:rsidRPr="00CC7FA9">
        <w:rPr>
          <w:szCs w:val="28"/>
        </w:rPr>
        <w:t xml:space="preserve">«Межбюджетные трансферты общего характера бюджетам </w:t>
      </w:r>
      <w:r w:rsidR="00EC539B">
        <w:rPr>
          <w:szCs w:val="28"/>
        </w:rPr>
        <w:t xml:space="preserve"> </w:t>
      </w:r>
      <w:r w:rsidR="00CC7FA9" w:rsidRPr="00CC7FA9">
        <w:rPr>
          <w:szCs w:val="28"/>
        </w:rPr>
        <w:t xml:space="preserve">бюджетной </w:t>
      </w:r>
      <w:r w:rsidR="00EC539B">
        <w:rPr>
          <w:szCs w:val="28"/>
        </w:rPr>
        <w:t xml:space="preserve"> </w:t>
      </w:r>
      <w:r w:rsidR="00CC7FA9" w:rsidRPr="00CC7FA9">
        <w:rPr>
          <w:szCs w:val="28"/>
        </w:rPr>
        <w:lastRenderedPageBreak/>
        <w:t xml:space="preserve">системы </w:t>
      </w:r>
      <w:r w:rsidR="00EC539B">
        <w:rPr>
          <w:szCs w:val="28"/>
        </w:rPr>
        <w:t xml:space="preserve"> </w:t>
      </w:r>
      <w:r w:rsidR="00CC7FA9" w:rsidRPr="00CC7FA9">
        <w:rPr>
          <w:szCs w:val="28"/>
        </w:rPr>
        <w:t>Российской Федерации»</w:t>
      </w:r>
      <w:r w:rsidR="00EC539B">
        <w:rPr>
          <w:i/>
          <w:szCs w:val="28"/>
        </w:rPr>
        <w:t xml:space="preserve"> </w:t>
      </w:r>
      <w:r w:rsidRPr="00EB3226">
        <w:rPr>
          <w:i/>
          <w:szCs w:val="28"/>
        </w:rPr>
        <w:t xml:space="preserve"> </w:t>
      </w:r>
      <w:r w:rsidRPr="00EB3226">
        <w:rPr>
          <w:szCs w:val="28"/>
        </w:rPr>
        <w:t xml:space="preserve">исполнены </w:t>
      </w:r>
      <w:r w:rsidR="00EC539B">
        <w:rPr>
          <w:szCs w:val="28"/>
        </w:rPr>
        <w:t xml:space="preserve"> </w:t>
      </w:r>
      <w:r w:rsidRPr="00EB3226">
        <w:rPr>
          <w:szCs w:val="28"/>
        </w:rPr>
        <w:t xml:space="preserve">в сумме </w:t>
      </w:r>
      <w:r w:rsidR="00EC539B">
        <w:rPr>
          <w:szCs w:val="28"/>
        </w:rPr>
        <w:t>2 791 065,6</w:t>
      </w:r>
      <w:r w:rsidRPr="00EB3226">
        <w:rPr>
          <w:szCs w:val="28"/>
        </w:rPr>
        <w:t xml:space="preserve"> тыс. рублей при уточненном плане </w:t>
      </w:r>
      <w:r w:rsidR="00EC539B">
        <w:rPr>
          <w:szCs w:val="28"/>
        </w:rPr>
        <w:t>2 791 065,6</w:t>
      </w:r>
      <w:r w:rsidRPr="00EB3226">
        <w:rPr>
          <w:szCs w:val="28"/>
        </w:rPr>
        <w:t xml:space="preserve"> тыс. рублей или исполнено на </w:t>
      </w:r>
      <w:r w:rsidR="00CC7FA9">
        <w:rPr>
          <w:szCs w:val="28"/>
        </w:rPr>
        <w:t>100</w:t>
      </w:r>
      <w:r>
        <w:rPr>
          <w:szCs w:val="28"/>
        </w:rPr>
        <w:t>,0</w:t>
      </w:r>
      <w:r w:rsidRPr="00EB3226">
        <w:rPr>
          <w:szCs w:val="28"/>
        </w:rPr>
        <w:t xml:space="preserve"> %, удельный вес расходов раздела составляет </w:t>
      </w:r>
      <w:r w:rsidR="00EC539B">
        <w:rPr>
          <w:szCs w:val="28"/>
        </w:rPr>
        <w:t>8,55</w:t>
      </w:r>
      <w:r w:rsidRPr="00EB3226">
        <w:rPr>
          <w:szCs w:val="28"/>
        </w:rPr>
        <w:t xml:space="preserve"> % в общих расходах. </w:t>
      </w:r>
    </w:p>
    <w:p w:rsidR="00AC28D3" w:rsidRPr="00AC28D3" w:rsidRDefault="00AC28D3" w:rsidP="00AC28D3">
      <w:pPr>
        <w:ind w:firstLine="709"/>
        <w:jc w:val="both"/>
        <w:rPr>
          <w:bCs/>
          <w:szCs w:val="28"/>
        </w:rPr>
      </w:pPr>
      <w:r w:rsidRPr="00AC28D3">
        <w:rPr>
          <w:bCs/>
          <w:szCs w:val="28"/>
        </w:rPr>
        <w:t xml:space="preserve">В 2022 году муниципальным образованиям Республики Алтай предоставлены из республиканского бюджета следующие межбюджетные трансферты: </w:t>
      </w:r>
    </w:p>
    <w:p w:rsidR="00AC28D3" w:rsidRPr="00AC28D3" w:rsidRDefault="00AC28D3" w:rsidP="00AC28D3">
      <w:pPr>
        <w:ind w:firstLine="709"/>
        <w:jc w:val="both"/>
        <w:rPr>
          <w:bCs/>
          <w:szCs w:val="28"/>
        </w:rPr>
      </w:pPr>
      <w:r w:rsidRPr="00AC28D3">
        <w:rPr>
          <w:bCs/>
          <w:szCs w:val="28"/>
        </w:rPr>
        <w:t>субвенции на осуществление государственных полномочий Республики Алтай в области законодательства об административных правонарушениях,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на осуществление первичного воинского учета на территориях, где отсутствуют военные комиссариаты,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AC28D3" w:rsidRPr="00AC28D3" w:rsidRDefault="00AC28D3" w:rsidP="00AC28D3">
      <w:pPr>
        <w:ind w:firstLine="709"/>
        <w:jc w:val="both"/>
        <w:rPr>
          <w:bCs/>
          <w:szCs w:val="28"/>
        </w:rPr>
      </w:pPr>
      <w:r w:rsidRPr="00AC28D3">
        <w:rPr>
          <w:bCs/>
          <w:szCs w:val="28"/>
        </w:rPr>
        <w:t xml:space="preserve">субсидии на </w:t>
      </w:r>
      <w:proofErr w:type="spellStart"/>
      <w:r w:rsidRPr="00AC28D3">
        <w:rPr>
          <w:bCs/>
          <w:szCs w:val="28"/>
        </w:rPr>
        <w:t>софинансирование</w:t>
      </w:r>
      <w:proofErr w:type="spellEnd"/>
      <w:r w:rsidRPr="00AC28D3">
        <w:rPr>
          <w:bCs/>
          <w:szCs w:val="28"/>
        </w:rPr>
        <w:t xml:space="preserve"> расходов местных бюджетов на оплату труда и начисления на выплаты по оплате труда работников бюджетной сферы в Республике Алтай;</w:t>
      </w:r>
    </w:p>
    <w:p w:rsidR="00AC28D3" w:rsidRPr="00AC28D3" w:rsidRDefault="00AC28D3" w:rsidP="00AC28D3">
      <w:pPr>
        <w:ind w:firstLine="709"/>
        <w:jc w:val="both"/>
        <w:rPr>
          <w:bCs/>
          <w:szCs w:val="28"/>
        </w:rPr>
      </w:pPr>
      <w:r w:rsidRPr="00AC28D3">
        <w:rPr>
          <w:bCs/>
          <w:szCs w:val="28"/>
        </w:rPr>
        <w:t xml:space="preserve">иные межбюджетные трансферты на </w:t>
      </w:r>
      <w:proofErr w:type="spellStart"/>
      <w:r w:rsidRPr="00AC28D3">
        <w:rPr>
          <w:bCs/>
          <w:szCs w:val="28"/>
        </w:rPr>
        <w:t>софинансирование</w:t>
      </w:r>
      <w:proofErr w:type="spellEnd"/>
      <w:r w:rsidRPr="00AC28D3">
        <w:rPr>
          <w:bCs/>
          <w:szCs w:val="28"/>
        </w:rPr>
        <w:t xml:space="preserve"> расходов местных бюджетов на обеспечение информатизации бюджетного процесса в муниципальных образованиях в Республике Алтай;</w:t>
      </w:r>
    </w:p>
    <w:p w:rsidR="00AC28D3" w:rsidRDefault="00AC28D3" w:rsidP="00AC28D3">
      <w:pPr>
        <w:ind w:firstLine="709"/>
        <w:jc w:val="both"/>
        <w:rPr>
          <w:b/>
          <w:i/>
          <w:szCs w:val="28"/>
        </w:rPr>
      </w:pPr>
      <w:r w:rsidRPr="00AC28D3">
        <w:rPr>
          <w:bCs/>
          <w:szCs w:val="28"/>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на поддержку мер по обеспечению сбалансированности бюджетов.</w:t>
      </w:r>
    </w:p>
    <w:p w:rsidR="00AC28D3" w:rsidRDefault="00AC28D3" w:rsidP="00AC28D3">
      <w:pPr>
        <w:ind w:firstLine="709"/>
        <w:jc w:val="center"/>
        <w:rPr>
          <w:b/>
          <w:i/>
          <w:szCs w:val="28"/>
        </w:rPr>
      </w:pPr>
    </w:p>
    <w:p w:rsidR="00E4650E" w:rsidRPr="007D0F3C" w:rsidRDefault="00E4650E" w:rsidP="00E4650E">
      <w:pPr>
        <w:widowControl w:val="0"/>
        <w:autoSpaceDE w:val="0"/>
        <w:autoSpaceDN w:val="0"/>
        <w:adjustRightInd w:val="0"/>
        <w:ind w:firstLine="709"/>
        <w:jc w:val="both"/>
        <w:rPr>
          <w:szCs w:val="28"/>
        </w:rPr>
      </w:pPr>
      <w:r w:rsidRPr="007D0F3C">
        <w:rPr>
          <w:szCs w:val="28"/>
        </w:rPr>
        <w:t xml:space="preserve">По состоянию на 1 января 2023 года долговые обязательства Республики Алтай составили в общей сумме 2 523 714,3 тыс. рублей. </w:t>
      </w:r>
    </w:p>
    <w:p w:rsidR="00E4650E" w:rsidRPr="007D0F3C" w:rsidRDefault="00E4650E" w:rsidP="00E4650E">
      <w:pPr>
        <w:autoSpaceDE w:val="0"/>
        <w:autoSpaceDN w:val="0"/>
        <w:adjustRightInd w:val="0"/>
        <w:ind w:firstLine="709"/>
        <w:jc w:val="both"/>
        <w:rPr>
          <w:szCs w:val="28"/>
        </w:rPr>
      </w:pPr>
      <w:r w:rsidRPr="007D0F3C">
        <w:rPr>
          <w:szCs w:val="28"/>
        </w:rPr>
        <w:t>В соответствии с постановлением Правительства Российской Федерации от 21 сентября 2022 года № 1662 «О внесении изменений в некоторые акты Правительства Российской Федерации» в 2022 году перенесен срок погашения реструктурированной задолженности по бюджетным кредитам в размере 49 053,0 тыс. рублей на 2029 год. Остаток задолженности по состоянию на 1 января 2023 года перед федеральным бюджетом по бюджетным кредитам составил 2 523 714,3 тыс. рублей.</w:t>
      </w:r>
    </w:p>
    <w:p w:rsidR="00E4650E" w:rsidRPr="007D0F3C" w:rsidRDefault="00E4650E" w:rsidP="00E4650E">
      <w:pPr>
        <w:ind w:firstLine="709"/>
        <w:contextualSpacing/>
        <w:jc w:val="both"/>
        <w:rPr>
          <w:color w:val="000000"/>
          <w:szCs w:val="28"/>
        </w:rPr>
      </w:pPr>
      <w:r w:rsidRPr="007D0F3C">
        <w:rPr>
          <w:color w:val="000000"/>
          <w:szCs w:val="28"/>
        </w:rPr>
        <w:t xml:space="preserve">Погашено за отчетный период кредитов от кредитных организаций в сумме 446 630,0 тыс. рублей. По состоянию на 1 января 2023 года задолженность перед кредитными организациями не имеется. </w:t>
      </w:r>
    </w:p>
    <w:p w:rsidR="00E4650E" w:rsidRPr="0006263D" w:rsidRDefault="00E4650E" w:rsidP="00E4650E">
      <w:pPr>
        <w:ind w:firstLine="709"/>
        <w:jc w:val="both"/>
        <w:rPr>
          <w:szCs w:val="28"/>
        </w:rPr>
      </w:pPr>
      <w:r w:rsidRPr="007D0F3C">
        <w:rPr>
          <w:szCs w:val="28"/>
        </w:rPr>
        <w:t xml:space="preserve">По состоянию на 1 января 2023 года государственный долг Республики Алтай по предоставленным государственным гарантиям Республики Алтай </w:t>
      </w:r>
      <w:r w:rsidRPr="007D0F3C">
        <w:rPr>
          <w:szCs w:val="28"/>
        </w:rPr>
        <w:lastRenderedPageBreak/>
        <w:t>составил 0 тыс. рублей. В 2022 году государственные гарантии Республики Алтай не предоставлялись.</w:t>
      </w:r>
      <w:r w:rsidRPr="0006263D">
        <w:rPr>
          <w:szCs w:val="28"/>
        </w:rPr>
        <w:t xml:space="preserve">  </w:t>
      </w:r>
    </w:p>
    <w:p w:rsidR="00E4650E" w:rsidRPr="009876DF" w:rsidRDefault="00E4650E" w:rsidP="00E4650E">
      <w:pPr>
        <w:ind w:firstLine="709"/>
        <w:jc w:val="both"/>
        <w:rPr>
          <w:szCs w:val="28"/>
        </w:rPr>
      </w:pPr>
      <w:r w:rsidRPr="009876DF">
        <w:rPr>
          <w:szCs w:val="28"/>
        </w:rPr>
        <w:t>Долговых обязательств в виде государственных ценных бумаг Республики Алтай не имеется.</w:t>
      </w:r>
    </w:p>
    <w:p w:rsidR="00E4650E" w:rsidRPr="009876DF" w:rsidRDefault="00E4650E" w:rsidP="00E4650E">
      <w:pPr>
        <w:autoSpaceDE w:val="0"/>
        <w:autoSpaceDN w:val="0"/>
        <w:adjustRightInd w:val="0"/>
        <w:ind w:firstLine="709"/>
        <w:jc w:val="both"/>
        <w:rPr>
          <w:szCs w:val="28"/>
        </w:rPr>
      </w:pPr>
      <w:r w:rsidRPr="009876DF">
        <w:rPr>
          <w:szCs w:val="28"/>
        </w:rPr>
        <w:t xml:space="preserve">Просроченная задолженность по долговым обязательствам Республики Алтай отсутствует. </w:t>
      </w:r>
    </w:p>
    <w:p w:rsidR="00E4650E" w:rsidRPr="009876DF" w:rsidRDefault="00E4650E" w:rsidP="00E4650E">
      <w:pPr>
        <w:widowControl w:val="0"/>
        <w:autoSpaceDE w:val="0"/>
        <w:autoSpaceDN w:val="0"/>
        <w:adjustRightInd w:val="0"/>
        <w:ind w:firstLine="709"/>
        <w:jc w:val="both"/>
        <w:rPr>
          <w:szCs w:val="28"/>
        </w:rPr>
      </w:pPr>
      <w:r w:rsidRPr="009876DF">
        <w:rPr>
          <w:szCs w:val="28"/>
        </w:rPr>
        <w:t>По состоянию на 1 января 2023 года объем государственного долга Республики Алтай составил 28,7 % от суммы доходов республиканского бюджета Республики Алтай без учета безвозмездных поступлений за 2022 год (на 1 января 2022 года объем государственного долга Республики Алтай составлял 21,3 % от суммы доходов республиканского бюджета Республики Алтай без учета безвозмездных поступлений за 2021 год).</w:t>
      </w:r>
    </w:p>
    <w:p w:rsidR="00E4650E" w:rsidRPr="00C973D0" w:rsidRDefault="00E4650E" w:rsidP="00E4650E">
      <w:pPr>
        <w:widowControl w:val="0"/>
        <w:autoSpaceDE w:val="0"/>
        <w:autoSpaceDN w:val="0"/>
        <w:adjustRightInd w:val="0"/>
        <w:ind w:firstLine="709"/>
        <w:jc w:val="both"/>
        <w:rPr>
          <w:szCs w:val="28"/>
        </w:rPr>
      </w:pPr>
      <w:r w:rsidRPr="009876DF">
        <w:rPr>
          <w:szCs w:val="28"/>
        </w:rPr>
        <w:t>По итогам 2022 года объем государственного долга Республики Алтай</w:t>
      </w:r>
      <w:r w:rsidRPr="00C973D0">
        <w:rPr>
          <w:szCs w:val="28"/>
        </w:rPr>
        <w:t xml:space="preserve"> не превысил ограничения, установленные бюджетным законодательством Российской Федерации.</w:t>
      </w:r>
    </w:p>
    <w:p w:rsidR="00E4650E" w:rsidRPr="00EA6550" w:rsidRDefault="00E4650E" w:rsidP="00E4650E">
      <w:pPr>
        <w:ind w:firstLine="709"/>
        <w:jc w:val="both"/>
        <w:rPr>
          <w:szCs w:val="28"/>
        </w:rPr>
      </w:pPr>
      <w:r w:rsidRPr="00C973D0">
        <w:rPr>
          <w:szCs w:val="28"/>
        </w:rPr>
        <w:t>В 202</w:t>
      </w:r>
      <w:r w:rsidR="000E755A">
        <w:rPr>
          <w:szCs w:val="28"/>
        </w:rPr>
        <w:t>2</w:t>
      </w:r>
      <w:r w:rsidRPr="00C973D0">
        <w:rPr>
          <w:szCs w:val="28"/>
        </w:rPr>
        <w:t xml:space="preserve"> году направлено расходов на обслуживание государственного долга Республики Алтай в сумме 5 909 тыс. рублей, что не превысило </w:t>
      </w:r>
      <w:r w:rsidRPr="00EA6550">
        <w:rPr>
          <w:szCs w:val="28"/>
        </w:rPr>
        <w:t>ограничения, установленные Бюджетным кодексом Российской Федерации.</w:t>
      </w:r>
    </w:p>
    <w:p w:rsidR="00E4650E" w:rsidRPr="00EA6550" w:rsidRDefault="00E4650E" w:rsidP="00E4650E">
      <w:pPr>
        <w:autoSpaceDE w:val="0"/>
        <w:autoSpaceDN w:val="0"/>
        <w:adjustRightInd w:val="0"/>
        <w:ind w:firstLine="709"/>
        <w:jc w:val="both"/>
        <w:rPr>
          <w:szCs w:val="28"/>
        </w:rPr>
      </w:pPr>
      <w:r w:rsidRPr="00EA6550">
        <w:rPr>
          <w:szCs w:val="28"/>
        </w:rPr>
        <w:t>Кроме того, по итогам 2022 года в полном объеме обеспечено выполнение условий проведенной в декабре 2017 года реструктуризации обязательств (задолженности) Республики Алтай перед Российской Федерацией по бюджетным кредитам, полученным Республикой Алтай из федерального бюджета в соответствии с постановлением Правительства Российской Федерации от 13.12.2017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E4650E" w:rsidRPr="00EA6550" w:rsidRDefault="00E4650E" w:rsidP="00E4650E">
      <w:pPr>
        <w:ind w:firstLine="709"/>
        <w:jc w:val="both"/>
        <w:rPr>
          <w:szCs w:val="28"/>
        </w:rPr>
      </w:pPr>
      <w:r w:rsidRPr="00EA6550">
        <w:rPr>
          <w:szCs w:val="28"/>
        </w:rPr>
        <w:t xml:space="preserve">За отчетный период местным бюджетам в Республике Алтай из республиканского бюджета предоставлено бюджетных кредитов на сумму </w:t>
      </w:r>
      <w:r w:rsidR="000E755A">
        <w:rPr>
          <w:szCs w:val="28"/>
        </w:rPr>
        <w:br/>
      </w:r>
      <w:r w:rsidRPr="00EA6550">
        <w:rPr>
          <w:szCs w:val="28"/>
        </w:rPr>
        <w:t>416 714,0 тыс. рублей. Погашено муниципальными образованиями в Республике Алтай бюджетных кредитов в сумме 24 779,0 тыс. рублей.</w:t>
      </w:r>
    </w:p>
    <w:p w:rsidR="00E4650E" w:rsidRPr="00DE0312" w:rsidRDefault="00E4650E" w:rsidP="00E4650E">
      <w:pPr>
        <w:ind w:firstLine="709"/>
        <w:jc w:val="both"/>
        <w:rPr>
          <w:szCs w:val="28"/>
        </w:rPr>
      </w:pPr>
      <w:r w:rsidRPr="00EA6550">
        <w:rPr>
          <w:szCs w:val="28"/>
        </w:rPr>
        <w:t>В течение 2022 года муниципальными образованиями в Республике Алтай не допускались факты несвоевременного погашения задолженности по</w:t>
      </w:r>
      <w:r w:rsidRPr="00C973D0">
        <w:rPr>
          <w:szCs w:val="28"/>
        </w:rPr>
        <w:t xml:space="preserve"> бюджетным кредитам, предоставленным из республиканского бюджета Республики Алтай.</w:t>
      </w:r>
    </w:p>
    <w:p w:rsidR="00E4650E" w:rsidRDefault="00E4650E" w:rsidP="00E4650E">
      <w:pPr>
        <w:spacing w:line="276" w:lineRule="auto"/>
        <w:ind w:firstLine="709"/>
        <w:jc w:val="both"/>
        <w:rPr>
          <w:szCs w:val="28"/>
        </w:rPr>
      </w:pPr>
    </w:p>
    <w:p w:rsidR="000E755A" w:rsidRDefault="000E755A" w:rsidP="00E4650E">
      <w:pPr>
        <w:spacing w:line="276" w:lineRule="auto"/>
        <w:ind w:firstLine="709"/>
        <w:jc w:val="both"/>
        <w:rPr>
          <w:szCs w:val="28"/>
        </w:rPr>
      </w:pPr>
    </w:p>
    <w:p w:rsidR="000E755A" w:rsidRDefault="000E755A" w:rsidP="00E4650E">
      <w:pPr>
        <w:spacing w:line="276" w:lineRule="auto"/>
        <w:ind w:firstLine="709"/>
        <w:jc w:val="both"/>
        <w:rPr>
          <w:szCs w:val="28"/>
        </w:rPr>
      </w:pPr>
    </w:p>
    <w:p w:rsidR="000E755A" w:rsidRDefault="000E755A" w:rsidP="00E4650E">
      <w:pPr>
        <w:spacing w:line="276" w:lineRule="auto"/>
        <w:ind w:firstLine="709"/>
        <w:jc w:val="both"/>
        <w:rPr>
          <w:szCs w:val="28"/>
        </w:rPr>
      </w:pPr>
    </w:p>
    <w:p w:rsidR="000E755A" w:rsidRDefault="000E755A" w:rsidP="00E4650E">
      <w:pPr>
        <w:spacing w:line="276" w:lineRule="auto"/>
        <w:ind w:firstLine="709"/>
        <w:jc w:val="both"/>
        <w:rPr>
          <w:szCs w:val="28"/>
        </w:rPr>
      </w:pPr>
    </w:p>
    <w:p w:rsidR="000E755A" w:rsidRDefault="000E755A" w:rsidP="00E4650E">
      <w:pPr>
        <w:spacing w:line="276" w:lineRule="auto"/>
        <w:ind w:firstLine="709"/>
        <w:jc w:val="both"/>
        <w:rPr>
          <w:szCs w:val="28"/>
        </w:rPr>
      </w:pPr>
    </w:p>
    <w:p w:rsidR="000E755A" w:rsidRDefault="000E755A" w:rsidP="00E4650E">
      <w:pPr>
        <w:spacing w:line="276" w:lineRule="auto"/>
        <w:ind w:firstLine="709"/>
        <w:jc w:val="both"/>
        <w:rPr>
          <w:szCs w:val="28"/>
        </w:rPr>
      </w:pPr>
    </w:p>
    <w:p w:rsidR="000E755A" w:rsidRDefault="000E755A" w:rsidP="00E4650E">
      <w:pPr>
        <w:spacing w:line="276" w:lineRule="auto"/>
        <w:ind w:firstLine="709"/>
        <w:jc w:val="both"/>
        <w:rPr>
          <w:szCs w:val="28"/>
        </w:rPr>
      </w:pPr>
    </w:p>
    <w:p w:rsidR="006447A8" w:rsidRPr="00E25236" w:rsidRDefault="006447A8" w:rsidP="006447A8">
      <w:pPr>
        <w:ind w:firstLine="709"/>
        <w:jc w:val="center"/>
        <w:rPr>
          <w:b/>
          <w:i/>
          <w:szCs w:val="28"/>
        </w:rPr>
      </w:pPr>
      <w:r w:rsidRPr="00E25236">
        <w:rPr>
          <w:b/>
          <w:i/>
          <w:szCs w:val="28"/>
        </w:rPr>
        <w:lastRenderedPageBreak/>
        <w:t xml:space="preserve">РАЗДЕЛ 4. Анализ показателей бухгалтерской отчетности Республики Алтай </w:t>
      </w:r>
    </w:p>
    <w:p w:rsidR="006447A8" w:rsidRPr="00FB7B0B" w:rsidRDefault="006447A8" w:rsidP="006447A8">
      <w:pPr>
        <w:ind w:firstLine="709"/>
        <w:jc w:val="both"/>
        <w:rPr>
          <w:szCs w:val="28"/>
        </w:rPr>
      </w:pPr>
      <w:r w:rsidRPr="0065204B">
        <w:rPr>
          <w:szCs w:val="28"/>
        </w:rPr>
        <w:tab/>
      </w:r>
      <w:r w:rsidRPr="009F174F">
        <w:rPr>
          <w:szCs w:val="28"/>
        </w:rPr>
        <w:t>Формирование годовой бюджетной отчетности за 202</w:t>
      </w:r>
      <w:r>
        <w:rPr>
          <w:szCs w:val="28"/>
        </w:rPr>
        <w:t>2</w:t>
      </w:r>
      <w:r w:rsidRPr="009F174F">
        <w:rPr>
          <w:szCs w:val="28"/>
        </w:rPr>
        <w:t xml:space="preserve"> год осуществлялось путем суммирования данных отчетов, представленных главными распорядителями бюджетных средств республиканского бюджета Республики Алтай, в соответствии с требованиями </w:t>
      </w:r>
      <w:r w:rsidRPr="00FB7B0B">
        <w:rPr>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rsidR="006447A8" w:rsidRDefault="006447A8" w:rsidP="006447A8">
      <w:pPr>
        <w:ind w:firstLine="720"/>
        <w:jc w:val="both"/>
        <w:rPr>
          <w:szCs w:val="28"/>
        </w:rPr>
      </w:pPr>
      <w:r w:rsidRPr="00FB7B0B">
        <w:rPr>
          <w:szCs w:val="28"/>
        </w:rPr>
        <w:t>В целях характеристики показателей бухгалтерской отчетности в составе пояснительной записки представлены:</w:t>
      </w:r>
    </w:p>
    <w:p w:rsidR="000E755A" w:rsidRDefault="000E755A" w:rsidP="000E755A">
      <w:pPr>
        <w:jc w:val="both"/>
        <w:rPr>
          <w:szCs w:val="28"/>
        </w:rPr>
      </w:pPr>
      <w:r>
        <w:rPr>
          <w:szCs w:val="28"/>
        </w:rPr>
        <w:t>Таблица 3 Сведения об исполнении текстовых статей закона о бюджете;</w:t>
      </w:r>
    </w:p>
    <w:p w:rsidR="000E755A" w:rsidRDefault="000E755A" w:rsidP="000E755A">
      <w:pPr>
        <w:jc w:val="both"/>
        <w:rPr>
          <w:szCs w:val="28"/>
        </w:rPr>
      </w:pPr>
      <w:r>
        <w:rPr>
          <w:szCs w:val="28"/>
        </w:rPr>
        <w:t>Таблица 6 Сведения о проведении инвентаризаций;</w:t>
      </w:r>
    </w:p>
    <w:p w:rsidR="000E755A" w:rsidRPr="00FB7B0B" w:rsidRDefault="000E755A" w:rsidP="000E755A">
      <w:pPr>
        <w:jc w:val="both"/>
        <w:rPr>
          <w:szCs w:val="28"/>
        </w:rPr>
      </w:pPr>
      <w:r>
        <w:rPr>
          <w:szCs w:val="28"/>
        </w:rPr>
        <w:t>Форма 0503164 «Сведения об исполнении бюджета»;</w:t>
      </w:r>
    </w:p>
    <w:p w:rsidR="006447A8" w:rsidRPr="00FB7B0B" w:rsidRDefault="006447A8" w:rsidP="006447A8">
      <w:pPr>
        <w:jc w:val="both"/>
        <w:rPr>
          <w:szCs w:val="28"/>
        </w:rPr>
      </w:pPr>
      <w:r w:rsidRPr="00FB7B0B">
        <w:rPr>
          <w:szCs w:val="28"/>
        </w:rPr>
        <w:t>форм</w:t>
      </w:r>
      <w:r w:rsidR="000E755A">
        <w:rPr>
          <w:szCs w:val="28"/>
        </w:rPr>
        <w:t>ы</w:t>
      </w:r>
      <w:r w:rsidRPr="00FB7B0B">
        <w:rPr>
          <w:szCs w:val="28"/>
        </w:rPr>
        <w:t xml:space="preserve"> 0503</w:t>
      </w:r>
      <w:r w:rsidR="000E755A">
        <w:rPr>
          <w:szCs w:val="28"/>
        </w:rPr>
        <w:t>1</w:t>
      </w:r>
      <w:r w:rsidRPr="00FB7B0B">
        <w:rPr>
          <w:szCs w:val="28"/>
        </w:rPr>
        <w:t>68 «Сведения о движении нефинансовых активов»;</w:t>
      </w:r>
    </w:p>
    <w:p w:rsidR="006447A8" w:rsidRPr="00FB7B0B" w:rsidRDefault="006447A8" w:rsidP="006447A8">
      <w:pPr>
        <w:jc w:val="both"/>
        <w:rPr>
          <w:szCs w:val="28"/>
        </w:rPr>
      </w:pPr>
      <w:r w:rsidRPr="00FB7B0B">
        <w:rPr>
          <w:szCs w:val="28"/>
        </w:rPr>
        <w:t>формы 0503</w:t>
      </w:r>
      <w:r w:rsidR="000E755A">
        <w:rPr>
          <w:szCs w:val="28"/>
        </w:rPr>
        <w:t>1</w:t>
      </w:r>
      <w:r w:rsidRPr="00FB7B0B">
        <w:rPr>
          <w:szCs w:val="28"/>
        </w:rPr>
        <w:t>69 «Сведения по дебиторской и кредиторской задолженности» по видам задолженности;</w:t>
      </w:r>
    </w:p>
    <w:p w:rsidR="006447A8" w:rsidRPr="00FB7B0B" w:rsidRDefault="006447A8" w:rsidP="006447A8">
      <w:pPr>
        <w:jc w:val="both"/>
        <w:rPr>
          <w:szCs w:val="28"/>
        </w:rPr>
      </w:pPr>
      <w:r w:rsidRPr="00FB7B0B">
        <w:rPr>
          <w:szCs w:val="28"/>
        </w:rPr>
        <w:t>форма 0503</w:t>
      </w:r>
      <w:r w:rsidR="000E755A">
        <w:rPr>
          <w:szCs w:val="28"/>
        </w:rPr>
        <w:t>1</w:t>
      </w:r>
      <w:r w:rsidRPr="00FB7B0B">
        <w:rPr>
          <w:szCs w:val="28"/>
        </w:rPr>
        <w:t>71 «Сведения о финансовых вложениях»;</w:t>
      </w:r>
    </w:p>
    <w:p w:rsidR="006447A8" w:rsidRPr="00FB7B0B" w:rsidRDefault="006447A8" w:rsidP="006447A8">
      <w:pPr>
        <w:jc w:val="both"/>
        <w:rPr>
          <w:szCs w:val="28"/>
        </w:rPr>
      </w:pPr>
      <w:r w:rsidRPr="00FB7B0B">
        <w:rPr>
          <w:szCs w:val="28"/>
        </w:rPr>
        <w:t>форма 0503</w:t>
      </w:r>
      <w:r w:rsidR="000E755A">
        <w:rPr>
          <w:szCs w:val="28"/>
        </w:rPr>
        <w:t>1</w:t>
      </w:r>
      <w:r w:rsidRPr="00FB7B0B">
        <w:rPr>
          <w:szCs w:val="28"/>
        </w:rPr>
        <w:t>72 «Сведения о государственном (муниципальном) долге»;</w:t>
      </w:r>
    </w:p>
    <w:p w:rsidR="006447A8" w:rsidRDefault="006447A8" w:rsidP="006447A8">
      <w:pPr>
        <w:autoSpaceDE w:val="0"/>
        <w:autoSpaceDN w:val="0"/>
        <w:adjustRightInd w:val="0"/>
        <w:jc w:val="both"/>
        <w:rPr>
          <w:rFonts w:eastAsia="Calibri"/>
          <w:szCs w:val="28"/>
          <w:lang w:eastAsia="en-US"/>
        </w:rPr>
      </w:pPr>
      <w:r w:rsidRPr="00FB7B0B">
        <w:rPr>
          <w:szCs w:val="28"/>
        </w:rPr>
        <w:t>форма 0503</w:t>
      </w:r>
      <w:r w:rsidR="000E755A">
        <w:rPr>
          <w:szCs w:val="28"/>
        </w:rPr>
        <w:t>1</w:t>
      </w:r>
      <w:r w:rsidRPr="00FB7B0B">
        <w:rPr>
          <w:szCs w:val="28"/>
        </w:rPr>
        <w:t>73</w:t>
      </w:r>
      <w:r w:rsidRPr="00236134">
        <w:rPr>
          <w:rFonts w:eastAsia="Calibri"/>
          <w:szCs w:val="28"/>
          <w:lang w:eastAsia="en-US"/>
        </w:rPr>
        <w:t xml:space="preserve"> «Сведения об изменении остатков валюты бала</w:t>
      </w:r>
      <w:r>
        <w:rPr>
          <w:rFonts w:eastAsia="Calibri"/>
          <w:szCs w:val="28"/>
          <w:lang w:eastAsia="en-US"/>
        </w:rPr>
        <w:t>нса консолидированного бюджета»;</w:t>
      </w:r>
    </w:p>
    <w:p w:rsidR="000E755A" w:rsidRDefault="000E755A" w:rsidP="006447A8">
      <w:pPr>
        <w:autoSpaceDE w:val="0"/>
        <w:autoSpaceDN w:val="0"/>
        <w:adjustRightInd w:val="0"/>
        <w:jc w:val="both"/>
        <w:rPr>
          <w:rFonts w:eastAsia="Calibri"/>
          <w:szCs w:val="28"/>
          <w:lang w:eastAsia="en-US"/>
        </w:rPr>
      </w:pPr>
      <w:r>
        <w:rPr>
          <w:rFonts w:eastAsia="Calibri"/>
          <w:szCs w:val="28"/>
          <w:lang w:eastAsia="en-US"/>
        </w:rPr>
        <w:t>форма 0503174 «Сведения о доходах бюджета от перечисления части прибыли (дивидендов) государственных унитарных предприятий;</w:t>
      </w:r>
    </w:p>
    <w:p w:rsidR="000E755A" w:rsidRDefault="000E755A" w:rsidP="006447A8">
      <w:pPr>
        <w:autoSpaceDE w:val="0"/>
        <w:autoSpaceDN w:val="0"/>
        <w:adjustRightInd w:val="0"/>
        <w:jc w:val="both"/>
        <w:rPr>
          <w:rFonts w:eastAsia="Calibri"/>
          <w:szCs w:val="28"/>
          <w:lang w:eastAsia="en-US"/>
        </w:rPr>
      </w:pPr>
      <w:r>
        <w:rPr>
          <w:rFonts w:eastAsia="Calibri"/>
          <w:szCs w:val="28"/>
          <w:lang w:eastAsia="en-US"/>
        </w:rPr>
        <w:t xml:space="preserve">форма 0503175 </w:t>
      </w:r>
      <w:r w:rsidR="006741E9">
        <w:rPr>
          <w:rFonts w:eastAsia="Calibri"/>
          <w:szCs w:val="28"/>
          <w:lang w:eastAsia="en-US"/>
        </w:rPr>
        <w:t>«Сведения о принятых и неисполненных обязательств получателя бюджетных средств»</w:t>
      </w:r>
    </w:p>
    <w:p w:rsidR="006447A8" w:rsidRDefault="006447A8" w:rsidP="006447A8">
      <w:pPr>
        <w:autoSpaceDE w:val="0"/>
        <w:autoSpaceDN w:val="0"/>
        <w:adjustRightInd w:val="0"/>
        <w:jc w:val="both"/>
      </w:pPr>
      <w:r w:rsidRPr="00FB7B0B">
        <w:rPr>
          <w:szCs w:val="28"/>
        </w:rPr>
        <w:t>форм</w:t>
      </w:r>
      <w:r w:rsidR="006741E9">
        <w:rPr>
          <w:szCs w:val="28"/>
        </w:rPr>
        <w:t>ы</w:t>
      </w:r>
      <w:r w:rsidRPr="00FB7B0B">
        <w:rPr>
          <w:szCs w:val="28"/>
        </w:rPr>
        <w:t xml:space="preserve"> 0503</w:t>
      </w:r>
      <w:r w:rsidR="000E755A">
        <w:rPr>
          <w:szCs w:val="28"/>
        </w:rPr>
        <w:t>1</w:t>
      </w:r>
      <w:r w:rsidRPr="00FB7B0B">
        <w:rPr>
          <w:szCs w:val="28"/>
        </w:rPr>
        <w:t>7</w:t>
      </w:r>
      <w:r>
        <w:rPr>
          <w:szCs w:val="28"/>
        </w:rPr>
        <w:t>8</w:t>
      </w:r>
      <w:r w:rsidRPr="00356ACC">
        <w:rPr>
          <w:rFonts w:ascii="Calibri" w:hAnsi="Calibri" w:cs="Calibri"/>
        </w:rPr>
        <w:t xml:space="preserve"> </w:t>
      </w:r>
      <w:r w:rsidRPr="00356ACC">
        <w:t>«Сведения об остатках денежных средств на счетах получателя бюджетных средств»</w:t>
      </w:r>
      <w:r w:rsidR="000E755A">
        <w:t>;</w:t>
      </w:r>
    </w:p>
    <w:p w:rsidR="000E755A" w:rsidRDefault="000E755A" w:rsidP="006447A8">
      <w:pPr>
        <w:autoSpaceDE w:val="0"/>
        <w:autoSpaceDN w:val="0"/>
        <w:adjustRightInd w:val="0"/>
        <w:jc w:val="both"/>
      </w:pPr>
      <w:r>
        <w:t>форма 0503190 «</w:t>
      </w:r>
      <w:r w:rsidR="006741E9">
        <w:t>Сведения о вложениях в объекты недвижимого имущества, объектах незавершенного строительства</w:t>
      </w:r>
    </w:p>
    <w:p w:rsidR="006741E9" w:rsidRDefault="006741E9" w:rsidP="006447A8">
      <w:pPr>
        <w:autoSpaceDE w:val="0"/>
        <w:autoSpaceDN w:val="0"/>
        <w:adjustRightInd w:val="0"/>
        <w:jc w:val="both"/>
      </w:pPr>
      <w:r>
        <w:t>форма 0503296 «Сведения об исполнении судебных решений по денежным обязательствам»</w:t>
      </w:r>
    </w:p>
    <w:p w:rsidR="006447A8" w:rsidRDefault="006447A8">
      <w:r>
        <w:br w:type="page"/>
      </w:r>
    </w:p>
    <w:p w:rsidR="006447A8" w:rsidRDefault="006447A8" w:rsidP="006447A8">
      <w:pPr>
        <w:autoSpaceDE w:val="0"/>
        <w:autoSpaceDN w:val="0"/>
        <w:adjustRightInd w:val="0"/>
        <w:jc w:val="both"/>
        <w:sectPr w:rsidR="006447A8" w:rsidSect="00287A48">
          <w:headerReference w:type="default" r:id="rId19"/>
          <w:pgSz w:w="11907" w:h="16840" w:code="9"/>
          <w:pgMar w:top="1560" w:right="567" w:bottom="851" w:left="1701" w:header="720" w:footer="720" w:gutter="0"/>
          <w:cols w:space="720"/>
          <w:titlePg/>
          <w:docGrid w:linePitch="381"/>
        </w:sectPr>
      </w:pPr>
    </w:p>
    <w:p w:rsidR="006447A8" w:rsidRDefault="006447A8" w:rsidP="006447A8">
      <w:pPr>
        <w:autoSpaceDE w:val="0"/>
        <w:autoSpaceDN w:val="0"/>
        <w:adjustRightInd w:val="0"/>
        <w:jc w:val="both"/>
      </w:pPr>
      <w:r w:rsidRPr="004A170C">
        <w:rPr>
          <w:b/>
          <w:szCs w:val="28"/>
        </w:rPr>
        <w:lastRenderedPageBreak/>
        <w:t xml:space="preserve">Сведения о показателях бюджетной отчетности по сегментам </w:t>
      </w:r>
      <w:r w:rsidRPr="004A170C">
        <w:rPr>
          <w:b/>
          <w:color w:val="000000"/>
          <w:szCs w:val="28"/>
        </w:rPr>
        <w:t>за 2022 год</w:t>
      </w:r>
    </w:p>
    <w:p w:rsidR="006447A8" w:rsidRDefault="006447A8" w:rsidP="006447A8">
      <w:pPr>
        <w:jc w:val="center"/>
        <w:rPr>
          <w:b/>
          <w:szCs w:val="28"/>
        </w:rPr>
      </w:pPr>
    </w:p>
    <w:tbl>
      <w:tblPr>
        <w:tblW w:w="15579" w:type="dxa"/>
        <w:tblLayout w:type="fixed"/>
        <w:tblLook w:val="04A0" w:firstRow="1" w:lastRow="0" w:firstColumn="1" w:lastColumn="0" w:noHBand="0" w:noVBand="1"/>
      </w:tblPr>
      <w:tblGrid>
        <w:gridCol w:w="3260"/>
        <w:gridCol w:w="1135"/>
        <w:gridCol w:w="1276"/>
        <w:gridCol w:w="1564"/>
        <w:gridCol w:w="1417"/>
        <w:gridCol w:w="1759"/>
        <w:gridCol w:w="1599"/>
        <w:gridCol w:w="1779"/>
        <w:gridCol w:w="1779"/>
        <w:gridCol w:w="11"/>
      </w:tblGrid>
      <w:tr w:rsidR="00EF62BD" w:rsidRPr="006447A8" w:rsidTr="006C0969">
        <w:trPr>
          <w:gridAfter w:val="1"/>
          <w:wAfter w:w="11" w:type="dxa"/>
          <w:trHeight w:val="255"/>
        </w:trPr>
        <w:tc>
          <w:tcPr>
            <w:tcW w:w="3260" w:type="dxa"/>
            <w:tcBorders>
              <w:top w:val="nil"/>
              <w:left w:val="nil"/>
              <w:bottom w:val="nil"/>
              <w:right w:val="nil"/>
            </w:tcBorders>
            <w:shd w:val="clear" w:color="auto" w:fill="auto"/>
            <w:noWrap/>
            <w:vAlign w:val="bottom"/>
            <w:hideMark/>
          </w:tcPr>
          <w:p w:rsidR="00EF62BD" w:rsidRPr="006447A8" w:rsidRDefault="00EF62BD" w:rsidP="006447A8">
            <w:pPr>
              <w:rPr>
                <w:color w:val="000000"/>
                <w:sz w:val="20"/>
              </w:rPr>
            </w:pPr>
            <w:r w:rsidRPr="006447A8">
              <w:rPr>
                <w:color w:val="000000"/>
                <w:sz w:val="20"/>
              </w:rPr>
              <w:t>Наименование бюджета</w:t>
            </w:r>
          </w:p>
        </w:tc>
        <w:tc>
          <w:tcPr>
            <w:tcW w:w="1135" w:type="dxa"/>
            <w:tcBorders>
              <w:top w:val="nil"/>
              <w:left w:val="nil"/>
              <w:bottom w:val="nil"/>
              <w:right w:val="nil"/>
            </w:tcBorders>
            <w:shd w:val="clear" w:color="auto" w:fill="auto"/>
            <w:noWrap/>
            <w:vAlign w:val="bottom"/>
            <w:hideMark/>
          </w:tcPr>
          <w:p w:rsidR="00EF62BD" w:rsidRPr="006447A8" w:rsidRDefault="00EF62BD" w:rsidP="006447A8">
            <w:pPr>
              <w:rPr>
                <w:color w:val="000000"/>
                <w:sz w:val="20"/>
              </w:rPr>
            </w:pPr>
          </w:p>
        </w:tc>
        <w:tc>
          <w:tcPr>
            <w:tcW w:w="6016" w:type="dxa"/>
            <w:gridSpan w:val="4"/>
            <w:tcBorders>
              <w:top w:val="nil"/>
              <w:left w:val="nil"/>
              <w:bottom w:val="nil"/>
              <w:right w:val="nil"/>
            </w:tcBorders>
            <w:shd w:val="clear" w:color="auto" w:fill="auto"/>
            <w:noWrap/>
            <w:vAlign w:val="bottom"/>
            <w:hideMark/>
          </w:tcPr>
          <w:p w:rsidR="00EF62BD" w:rsidRPr="006447A8" w:rsidRDefault="00EF62BD" w:rsidP="006447A8">
            <w:pPr>
              <w:rPr>
                <w:sz w:val="20"/>
              </w:rPr>
            </w:pPr>
            <w:r w:rsidRPr="006447A8">
              <w:rPr>
                <w:color w:val="000000"/>
                <w:sz w:val="20"/>
              </w:rPr>
              <w:t>Республиканский бюджет Республики Алтай</w:t>
            </w:r>
          </w:p>
        </w:tc>
        <w:tc>
          <w:tcPr>
            <w:tcW w:w="1599" w:type="dxa"/>
            <w:tcBorders>
              <w:top w:val="nil"/>
              <w:left w:val="nil"/>
              <w:bottom w:val="nil"/>
              <w:right w:val="nil"/>
            </w:tcBorders>
            <w:shd w:val="clear" w:color="auto" w:fill="auto"/>
            <w:noWrap/>
            <w:vAlign w:val="bottom"/>
            <w:hideMark/>
          </w:tcPr>
          <w:p w:rsidR="00EF62BD" w:rsidRPr="006447A8" w:rsidRDefault="00EF62BD" w:rsidP="006447A8">
            <w:pPr>
              <w:rPr>
                <w:sz w:val="20"/>
              </w:rPr>
            </w:pPr>
          </w:p>
        </w:tc>
        <w:tc>
          <w:tcPr>
            <w:tcW w:w="1779" w:type="dxa"/>
            <w:tcBorders>
              <w:top w:val="nil"/>
              <w:left w:val="nil"/>
              <w:bottom w:val="nil"/>
              <w:right w:val="nil"/>
            </w:tcBorders>
            <w:shd w:val="clear" w:color="auto" w:fill="auto"/>
            <w:noWrap/>
            <w:vAlign w:val="bottom"/>
            <w:hideMark/>
          </w:tcPr>
          <w:p w:rsidR="00EF62BD" w:rsidRPr="006447A8" w:rsidRDefault="00EF62BD" w:rsidP="006447A8">
            <w:pPr>
              <w:rPr>
                <w:sz w:val="20"/>
              </w:rPr>
            </w:pPr>
          </w:p>
        </w:tc>
        <w:tc>
          <w:tcPr>
            <w:tcW w:w="1779" w:type="dxa"/>
            <w:tcBorders>
              <w:top w:val="nil"/>
              <w:left w:val="nil"/>
              <w:bottom w:val="nil"/>
              <w:right w:val="nil"/>
            </w:tcBorders>
            <w:shd w:val="clear" w:color="auto" w:fill="auto"/>
            <w:noWrap/>
            <w:vAlign w:val="bottom"/>
            <w:hideMark/>
          </w:tcPr>
          <w:p w:rsidR="00EF62BD" w:rsidRPr="006447A8" w:rsidRDefault="00EF62BD" w:rsidP="006447A8">
            <w:pPr>
              <w:rPr>
                <w:sz w:val="20"/>
              </w:rPr>
            </w:pPr>
          </w:p>
        </w:tc>
      </w:tr>
      <w:tr w:rsidR="006447A8" w:rsidRPr="006447A8" w:rsidTr="00A32BB7">
        <w:trPr>
          <w:gridAfter w:val="1"/>
          <w:wAfter w:w="11" w:type="dxa"/>
          <w:trHeight w:val="255"/>
        </w:trPr>
        <w:tc>
          <w:tcPr>
            <w:tcW w:w="3260" w:type="dxa"/>
            <w:tcBorders>
              <w:top w:val="nil"/>
              <w:left w:val="nil"/>
              <w:bottom w:val="nil"/>
              <w:right w:val="nil"/>
            </w:tcBorders>
            <w:shd w:val="clear" w:color="auto" w:fill="auto"/>
            <w:noWrap/>
            <w:vAlign w:val="bottom"/>
            <w:hideMark/>
          </w:tcPr>
          <w:p w:rsidR="006447A8" w:rsidRPr="006447A8" w:rsidRDefault="006447A8" w:rsidP="006447A8">
            <w:pPr>
              <w:rPr>
                <w:color w:val="000000"/>
                <w:sz w:val="20"/>
              </w:rPr>
            </w:pPr>
            <w:r w:rsidRPr="006447A8">
              <w:rPr>
                <w:color w:val="000000"/>
                <w:sz w:val="20"/>
              </w:rPr>
              <w:t>Единица измерения: руб.</w:t>
            </w:r>
          </w:p>
        </w:tc>
        <w:tc>
          <w:tcPr>
            <w:tcW w:w="1135" w:type="dxa"/>
            <w:tcBorders>
              <w:top w:val="nil"/>
              <w:left w:val="nil"/>
              <w:bottom w:val="nil"/>
              <w:right w:val="nil"/>
            </w:tcBorders>
            <w:shd w:val="clear" w:color="auto" w:fill="auto"/>
            <w:noWrap/>
            <w:vAlign w:val="bottom"/>
            <w:hideMark/>
          </w:tcPr>
          <w:p w:rsidR="006447A8" w:rsidRPr="006447A8" w:rsidRDefault="006447A8" w:rsidP="006447A8">
            <w:pPr>
              <w:rPr>
                <w:color w:val="000000"/>
                <w:sz w:val="20"/>
              </w:rPr>
            </w:pPr>
          </w:p>
        </w:tc>
        <w:tc>
          <w:tcPr>
            <w:tcW w:w="1276" w:type="dxa"/>
            <w:tcBorders>
              <w:top w:val="nil"/>
              <w:left w:val="nil"/>
              <w:bottom w:val="nil"/>
              <w:right w:val="nil"/>
            </w:tcBorders>
            <w:shd w:val="clear" w:color="auto" w:fill="auto"/>
            <w:noWrap/>
            <w:vAlign w:val="bottom"/>
            <w:hideMark/>
          </w:tcPr>
          <w:p w:rsidR="006447A8" w:rsidRPr="006447A8" w:rsidRDefault="006447A8" w:rsidP="006447A8">
            <w:pPr>
              <w:rPr>
                <w:sz w:val="20"/>
              </w:rPr>
            </w:pPr>
          </w:p>
        </w:tc>
        <w:tc>
          <w:tcPr>
            <w:tcW w:w="1564" w:type="dxa"/>
            <w:tcBorders>
              <w:top w:val="nil"/>
              <w:left w:val="nil"/>
              <w:bottom w:val="nil"/>
              <w:right w:val="nil"/>
            </w:tcBorders>
            <w:shd w:val="clear" w:color="auto" w:fill="auto"/>
            <w:noWrap/>
            <w:vAlign w:val="bottom"/>
            <w:hideMark/>
          </w:tcPr>
          <w:p w:rsidR="006447A8" w:rsidRPr="006447A8" w:rsidRDefault="006447A8" w:rsidP="006447A8">
            <w:pPr>
              <w:rPr>
                <w:sz w:val="20"/>
              </w:rPr>
            </w:pPr>
          </w:p>
        </w:tc>
        <w:tc>
          <w:tcPr>
            <w:tcW w:w="1417" w:type="dxa"/>
            <w:tcBorders>
              <w:top w:val="nil"/>
              <w:left w:val="nil"/>
              <w:bottom w:val="nil"/>
              <w:right w:val="nil"/>
            </w:tcBorders>
            <w:shd w:val="clear" w:color="auto" w:fill="auto"/>
            <w:noWrap/>
            <w:vAlign w:val="bottom"/>
            <w:hideMark/>
          </w:tcPr>
          <w:p w:rsidR="006447A8" w:rsidRPr="006447A8" w:rsidRDefault="006447A8" w:rsidP="006447A8">
            <w:pPr>
              <w:rPr>
                <w:sz w:val="20"/>
              </w:rPr>
            </w:pPr>
          </w:p>
        </w:tc>
        <w:tc>
          <w:tcPr>
            <w:tcW w:w="1759" w:type="dxa"/>
            <w:tcBorders>
              <w:top w:val="nil"/>
              <w:left w:val="nil"/>
              <w:bottom w:val="nil"/>
              <w:right w:val="nil"/>
            </w:tcBorders>
            <w:shd w:val="clear" w:color="auto" w:fill="auto"/>
            <w:noWrap/>
            <w:vAlign w:val="bottom"/>
            <w:hideMark/>
          </w:tcPr>
          <w:p w:rsidR="006447A8" w:rsidRPr="006447A8" w:rsidRDefault="006447A8" w:rsidP="006447A8">
            <w:pPr>
              <w:rPr>
                <w:sz w:val="20"/>
              </w:rPr>
            </w:pPr>
          </w:p>
        </w:tc>
        <w:tc>
          <w:tcPr>
            <w:tcW w:w="1599" w:type="dxa"/>
            <w:tcBorders>
              <w:top w:val="nil"/>
              <w:left w:val="nil"/>
              <w:bottom w:val="nil"/>
              <w:right w:val="nil"/>
            </w:tcBorders>
            <w:shd w:val="clear" w:color="auto" w:fill="auto"/>
            <w:noWrap/>
            <w:vAlign w:val="bottom"/>
            <w:hideMark/>
          </w:tcPr>
          <w:p w:rsidR="006447A8" w:rsidRPr="006447A8" w:rsidRDefault="006447A8" w:rsidP="006447A8">
            <w:pPr>
              <w:rPr>
                <w:sz w:val="20"/>
              </w:rPr>
            </w:pPr>
          </w:p>
        </w:tc>
        <w:tc>
          <w:tcPr>
            <w:tcW w:w="1779" w:type="dxa"/>
            <w:tcBorders>
              <w:top w:val="nil"/>
              <w:left w:val="nil"/>
              <w:bottom w:val="nil"/>
              <w:right w:val="nil"/>
            </w:tcBorders>
            <w:shd w:val="clear" w:color="auto" w:fill="auto"/>
            <w:noWrap/>
            <w:vAlign w:val="bottom"/>
            <w:hideMark/>
          </w:tcPr>
          <w:p w:rsidR="006447A8" w:rsidRPr="006447A8" w:rsidRDefault="006447A8" w:rsidP="006447A8">
            <w:pPr>
              <w:rPr>
                <w:sz w:val="20"/>
              </w:rPr>
            </w:pPr>
          </w:p>
        </w:tc>
        <w:tc>
          <w:tcPr>
            <w:tcW w:w="1779" w:type="dxa"/>
            <w:tcBorders>
              <w:top w:val="nil"/>
              <w:left w:val="nil"/>
              <w:bottom w:val="nil"/>
              <w:right w:val="nil"/>
            </w:tcBorders>
            <w:shd w:val="clear" w:color="auto" w:fill="auto"/>
            <w:noWrap/>
            <w:vAlign w:val="bottom"/>
            <w:hideMark/>
          </w:tcPr>
          <w:p w:rsidR="006447A8" w:rsidRPr="006447A8" w:rsidRDefault="006447A8" w:rsidP="006447A8">
            <w:pPr>
              <w:rPr>
                <w:sz w:val="20"/>
              </w:rPr>
            </w:pPr>
          </w:p>
        </w:tc>
      </w:tr>
      <w:tr w:rsidR="006447A8" w:rsidRPr="006447A8" w:rsidTr="00A32BB7">
        <w:trPr>
          <w:trHeight w:val="31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1. Общая величина признанных доходов за период, а также показатели по следующим доходам:</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Код вида фин. обеспечения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Номер (код) счета бюджетного учета</w:t>
            </w:r>
          </w:p>
        </w:tc>
        <w:tc>
          <w:tcPr>
            <w:tcW w:w="9908" w:type="dxa"/>
            <w:gridSpan w:val="7"/>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Показатели операций по доходам по сегментам</w:t>
            </w:r>
          </w:p>
        </w:tc>
      </w:tr>
      <w:tr w:rsidR="00A32BB7" w:rsidRPr="006447A8" w:rsidTr="00A32BB7">
        <w:trPr>
          <w:gridAfter w:val="1"/>
          <w:wAfter w:w="11" w:type="dxa"/>
          <w:trHeight w:val="105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2981"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Бюджетные единицы (участники бюджетного процесса)</w:t>
            </w:r>
            <w:r w:rsidRPr="006447A8">
              <w:rPr>
                <w:b/>
                <w:bCs/>
                <w:color w:val="000000"/>
                <w:sz w:val="20"/>
                <w:vertAlign w:val="superscript"/>
              </w:rPr>
              <w:t>1</w:t>
            </w:r>
          </w:p>
        </w:tc>
        <w:tc>
          <w:tcPr>
            <w:tcW w:w="3358"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Бюджетные (автономные) учреждения (БУ/АУ)</w:t>
            </w:r>
            <w:r w:rsidRPr="006447A8">
              <w:rPr>
                <w:b/>
                <w:bCs/>
                <w:color w:val="000000"/>
                <w:sz w:val="20"/>
                <w:vertAlign w:val="superscript"/>
              </w:rPr>
              <w:t>2</w:t>
            </w:r>
          </w:p>
        </w:tc>
        <w:tc>
          <w:tcPr>
            <w:tcW w:w="3558"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Внебюджетные государственные единицы (ГУП/МУП/ГК)</w:t>
            </w:r>
            <w:r w:rsidRPr="006447A8">
              <w:rPr>
                <w:b/>
                <w:bCs/>
                <w:color w:val="000000"/>
                <w:sz w:val="20"/>
                <w:vertAlign w:val="superscript"/>
              </w:rPr>
              <w:t>3</w:t>
            </w:r>
          </w:p>
        </w:tc>
      </w:tr>
      <w:tr w:rsidR="006447A8" w:rsidRPr="006447A8" w:rsidTr="00A32BB7">
        <w:trPr>
          <w:gridAfter w:val="1"/>
          <w:wAfter w:w="11" w:type="dxa"/>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1564"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 xml:space="preserve">увеличение </w:t>
            </w:r>
            <w:r w:rsidRPr="006447A8">
              <w:rPr>
                <w:b/>
                <w:bCs/>
                <w:color w:val="000000"/>
                <w:sz w:val="20"/>
              </w:rPr>
              <w:br/>
              <w:t>(КОСГУ 561)</w:t>
            </w:r>
          </w:p>
        </w:tc>
        <w:tc>
          <w:tcPr>
            <w:tcW w:w="1417"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 xml:space="preserve">уменьшение </w:t>
            </w:r>
            <w:r w:rsidRPr="006447A8">
              <w:rPr>
                <w:b/>
                <w:bCs/>
                <w:color w:val="000000"/>
                <w:sz w:val="20"/>
              </w:rPr>
              <w:br/>
              <w:t>(КОСГУ 661)</w:t>
            </w:r>
          </w:p>
        </w:tc>
        <w:tc>
          <w:tcPr>
            <w:tcW w:w="1759"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 xml:space="preserve">увеличение </w:t>
            </w:r>
            <w:r w:rsidRPr="006447A8">
              <w:rPr>
                <w:b/>
                <w:bCs/>
                <w:color w:val="000000"/>
                <w:sz w:val="20"/>
              </w:rPr>
              <w:br/>
              <w:t>(КОСГУ 562)</w:t>
            </w:r>
          </w:p>
        </w:tc>
        <w:tc>
          <w:tcPr>
            <w:tcW w:w="1599"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уменьшение</w:t>
            </w:r>
            <w:r w:rsidRPr="006447A8">
              <w:rPr>
                <w:b/>
                <w:bCs/>
                <w:color w:val="000000"/>
                <w:sz w:val="20"/>
              </w:rPr>
              <w:br/>
              <w:t>(КОСГУ662)</w:t>
            </w:r>
          </w:p>
        </w:tc>
        <w:tc>
          <w:tcPr>
            <w:tcW w:w="1779"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увеличение</w:t>
            </w:r>
            <w:r w:rsidRPr="006447A8">
              <w:rPr>
                <w:b/>
                <w:bCs/>
                <w:color w:val="000000"/>
                <w:sz w:val="20"/>
              </w:rPr>
              <w:br/>
              <w:t>(КОСГУ 563)</w:t>
            </w:r>
          </w:p>
        </w:tc>
        <w:tc>
          <w:tcPr>
            <w:tcW w:w="1779"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уменьшение</w:t>
            </w:r>
            <w:r w:rsidRPr="006447A8">
              <w:rPr>
                <w:b/>
                <w:bCs/>
                <w:color w:val="000000"/>
                <w:sz w:val="20"/>
              </w:rPr>
              <w:br/>
              <w:t>(КОСГУ 663)</w:t>
            </w:r>
          </w:p>
        </w:tc>
      </w:tr>
      <w:tr w:rsidR="006447A8" w:rsidRPr="006447A8" w:rsidTr="00A32BB7">
        <w:trPr>
          <w:gridAfter w:val="1"/>
          <w:wAfter w:w="11" w:type="dxa"/>
          <w:trHeight w:val="765"/>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налоговые доходы, платежи и страховые взносы на обязательное социальное страхование;</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205 10</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6 283 170 118,93</w:t>
            </w: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6 102 633 866,27</w:t>
            </w: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r>
      <w:tr w:rsidR="006447A8" w:rsidRPr="006447A8" w:rsidTr="00A32BB7">
        <w:trPr>
          <w:gridAfter w:val="1"/>
          <w:wAfter w:w="11" w:type="dxa"/>
          <w:trHeight w:val="25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доходы от собственности</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205 20</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420 897 371,52</w:t>
            </w: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420 322 371,42</w:t>
            </w: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1 258 096,80</w:t>
            </w: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1 258 096,80</w:t>
            </w: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1 886 000,00</w:t>
            </w:r>
          </w:p>
        </w:tc>
      </w:tr>
      <w:tr w:rsidR="006447A8" w:rsidRPr="006447A8" w:rsidTr="00A32BB7">
        <w:trPr>
          <w:gridAfter w:val="1"/>
          <w:wAfter w:w="11" w:type="dxa"/>
          <w:trHeight w:val="51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доходам от оказания платных услуг (работ), компенсаций затрат;</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205 30</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7 311 617,62</w:t>
            </w: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7 306 572,20</w:t>
            </w: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9 905 735,28</w:t>
            </w: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10 517 334,05</w:t>
            </w: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79 680,00</w:t>
            </w: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79 680,00</w:t>
            </w:r>
          </w:p>
        </w:tc>
      </w:tr>
      <w:tr w:rsidR="006447A8" w:rsidRPr="006447A8" w:rsidTr="00A32BB7">
        <w:trPr>
          <w:gridAfter w:val="1"/>
          <w:wAfter w:w="11" w:type="dxa"/>
          <w:trHeight w:val="25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доходам от операций с активами</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205 70</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r>
      <w:tr w:rsidR="006447A8" w:rsidRPr="006447A8" w:rsidTr="00A32BB7">
        <w:trPr>
          <w:gridAfter w:val="1"/>
          <w:wAfter w:w="11" w:type="dxa"/>
          <w:trHeight w:val="51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межбюджетным трансфертам полученным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 xml:space="preserve">205 51, </w:t>
            </w:r>
            <w:r w:rsidR="00EF62BD">
              <w:rPr>
                <w:color w:val="000000"/>
                <w:sz w:val="20"/>
              </w:rPr>
              <w:t xml:space="preserve">    </w:t>
            </w:r>
            <w:r w:rsidRPr="006447A8">
              <w:rPr>
                <w:color w:val="000000"/>
                <w:sz w:val="20"/>
              </w:rPr>
              <w:t>205 61</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30 027 822 792,49</w:t>
            </w: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31 143 686 481,55</w:t>
            </w: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r>
      <w:tr w:rsidR="006447A8" w:rsidRPr="006447A8" w:rsidTr="00A32BB7">
        <w:trPr>
          <w:gridAfter w:val="1"/>
          <w:wAfter w:w="11" w:type="dxa"/>
          <w:trHeight w:val="765"/>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субсидиям, грантам, имущественным взносам полученным;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 xml:space="preserve">205 52, </w:t>
            </w:r>
            <w:r w:rsidR="00EF62BD">
              <w:rPr>
                <w:color w:val="000000"/>
                <w:sz w:val="20"/>
              </w:rPr>
              <w:t xml:space="preserve">    </w:t>
            </w:r>
            <w:r w:rsidRPr="006447A8">
              <w:rPr>
                <w:color w:val="000000"/>
                <w:sz w:val="20"/>
              </w:rPr>
              <w:t>205 54 …</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168 989 676,29</w:t>
            </w: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7 348 209,69</w:t>
            </w: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267 964 744,19</w:t>
            </w: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232 288 780,45</w:t>
            </w:r>
          </w:p>
        </w:tc>
      </w:tr>
      <w:tr w:rsidR="006447A8" w:rsidRPr="006447A8" w:rsidTr="00A32BB7">
        <w:trPr>
          <w:trHeight w:val="315"/>
        </w:trPr>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2.  Общая величина признанных расходов за период, а также показатели по следующим расходам:</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Код вида фин. обеспечения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Номер (код) счета бюджетного учета</w:t>
            </w:r>
          </w:p>
        </w:tc>
        <w:tc>
          <w:tcPr>
            <w:tcW w:w="9908" w:type="dxa"/>
            <w:gridSpan w:val="7"/>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Показатели операций по обязательствам по сегментам</w:t>
            </w:r>
          </w:p>
        </w:tc>
      </w:tr>
      <w:tr w:rsidR="00A32BB7" w:rsidRPr="006447A8" w:rsidTr="00A32BB7">
        <w:trPr>
          <w:gridAfter w:val="1"/>
          <w:wAfter w:w="11" w:type="dxa"/>
          <w:trHeight w:val="720"/>
        </w:trPr>
        <w:tc>
          <w:tcPr>
            <w:tcW w:w="3260" w:type="dxa"/>
            <w:vMerge/>
            <w:tcBorders>
              <w:top w:val="nil"/>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1135" w:type="dxa"/>
            <w:vMerge/>
            <w:tcBorders>
              <w:top w:val="nil"/>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1276" w:type="dxa"/>
            <w:vMerge/>
            <w:tcBorders>
              <w:top w:val="nil"/>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2981"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Бюджетные единицы (участники бюджетного процесса)</w:t>
            </w:r>
            <w:r w:rsidRPr="006447A8">
              <w:rPr>
                <w:b/>
                <w:bCs/>
                <w:color w:val="000000"/>
                <w:sz w:val="20"/>
                <w:vertAlign w:val="superscript"/>
              </w:rPr>
              <w:t>1</w:t>
            </w:r>
          </w:p>
        </w:tc>
        <w:tc>
          <w:tcPr>
            <w:tcW w:w="3358"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Бюджетные (автономные) учреждения (БУ/АУ)</w:t>
            </w:r>
            <w:r w:rsidRPr="006447A8">
              <w:rPr>
                <w:b/>
                <w:bCs/>
                <w:color w:val="000000"/>
                <w:sz w:val="20"/>
                <w:vertAlign w:val="superscript"/>
              </w:rPr>
              <w:t>2</w:t>
            </w:r>
          </w:p>
        </w:tc>
        <w:tc>
          <w:tcPr>
            <w:tcW w:w="3558"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Внебюджетные государственные единицы (ГУП/МУП/ГК)</w:t>
            </w:r>
            <w:r w:rsidRPr="006447A8">
              <w:rPr>
                <w:b/>
                <w:bCs/>
                <w:color w:val="000000"/>
                <w:sz w:val="20"/>
                <w:vertAlign w:val="superscript"/>
              </w:rPr>
              <w:t>3</w:t>
            </w:r>
          </w:p>
        </w:tc>
      </w:tr>
      <w:tr w:rsidR="006447A8" w:rsidRPr="006447A8" w:rsidTr="00A32BB7">
        <w:trPr>
          <w:gridAfter w:val="1"/>
          <w:wAfter w:w="11" w:type="dxa"/>
          <w:trHeight w:val="510"/>
        </w:trPr>
        <w:tc>
          <w:tcPr>
            <w:tcW w:w="3260" w:type="dxa"/>
            <w:vMerge/>
            <w:tcBorders>
              <w:top w:val="nil"/>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1135" w:type="dxa"/>
            <w:vMerge/>
            <w:tcBorders>
              <w:top w:val="nil"/>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1276" w:type="dxa"/>
            <w:vMerge/>
            <w:tcBorders>
              <w:top w:val="nil"/>
              <w:left w:val="single" w:sz="4" w:space="0" w:color="auto"/>
              <w:bottom w:val="single" w:sz="4" w:space="0" w:color="auto"/>
              <w:right w:val="single" w:sz="4" w:space="0" w:color="auto"/>
            </w:tcBorders>
            <w:vAlign w:val="center"/>
            <w:hideMark/>
          </w:tcPr>
          <w:p w:rsidR="006447A8" w:rsidRPr="006447A8" w:rsidRDefault="006447A8" w:rsidP="006447A8">
            <w:pPr>
              <w:rPr>
                <w:b/>
                <w:bCs/>
                <w:color w:val="000000"/>
                <w:sz w:val="20"/>
              </w:rPr>
            </w:pPr>
          </w:p>
        </w:tc>
        <w:tc>
          <w:tcPr>
            <w:tcW w:w="1564"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увеличение</w:t>
            </w:r>
            <w:r w:rsidRPr="006447A8">
              <w:rPr>
                <w:b/>
                <w:bCs/>
                <w:color w:val="000000"/>
                <w:sz w:val="20"/>
              </w:rPr>
              <w:br/>
              <w:t xml:space="preserve"> (КОСГУ 731)</w:t>
            </w:r>
          </w:p>
        </w:tc>
        <w:tc>
          <w:tcPr>
            <w:tcW w:w="1417"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уменьшение</w:t>
            </w:r>
            <w:r w:rsidRPr="006447A8">
              <w:rPr>
                <w:b/>
                <w:bCs/>
                <w:color w:val="000000"/>
                <w:sz w:val="20"/>
              </w:rPr>
              <w:br/>
              <w:t>(КОСГУ 831)</w:t>
            </w:r>
          </w:p>
        </w:tc>
        <w:tc>
          <w:tcPr>
            <w:tcW w:w="1759"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увеличение</w:t>
            </w:r>
            <w:r w:rsidRPr="006447A8">
              <w:rPr>
                <w:b/>
                <w:bCs/>
                <w:color w:val="000000"/>
                <w:sz w:val="20"/>
              </w:rPr>
              <w:br/>
              <w:t xml:space="preserve"> (КОСГУ 732)</w:t>
            </w:r>
          </w:p>
        </w:tc>
        <w:tc>
          <w:tcPr>
            <w:tcW w:w="1599"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 xml:space="preserve">уменьшение </w:t>
            </w:r>
            <w:r w:rsidRPr="006447A8">
              <w:rPr>
                <w:b/>
                <w:bCs/>
                <w:color w:val="000000"/>
                <w:sz w:val="20"/>
              </w:rPr>
              <w:br/>
              <w:t>(КОСГУ 832)</w:t>
            </w:r>
          </w:p>
        </w:tc>
        <w:tc>
          <w:tcPr>
            <w:tcW w:w="1779"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увеличение</w:t>
            </w:r>
            <w:r w:rsidRPr="006447A8">
              <w:rPr>
                <w:b/>
                <w:bCs/>
                <w:color w:val="000000"/>
                <w:sz w:val="20"/>
              </w:rPr>
              <w:br/>
              <w:t>(КОСГУ 733)</w:t>
            </w:r>
          </w:p>
        </w:tc>
        <w:tc>
          <w:tcPr>
            <w:tcW w:w="1779"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уменьшение</w:t>
            </w:r>
            <w:r w:rsidRPr="006447A8">
              <w:rPr>
                <w:b/>
                <w:bCs/>
                <w:color w:val="000000"/>
                <w:sz w:val="20"/>
              </w:rPr>
              <w:br/>
              <w:t xml:space="preserve"> (КОСГУ 833)</w:t>
            </w:r>
          </w:p>
        </w:tc>
      </w:tr>
      <w:tr w:rsidR="006447A8" w:rsidRPr="006447A8" w:rsidTr="00A32BB7">
        <w:trPr>
          <w:gridAfter w:val="1"/>
          <w:wAfter w:w="11" w:type="dxa"/>
          <w:trHeight w:val="51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оплате труда, начислениям на выплаты по оплате труда;</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 xml:space="preserve">302 11; </w:t>
            </w:r>
            <w:r w:rsidR="00EF62BD">
              <w:rPr>
                <w:color w:val="000000"/>
                <w:sz w:val="20"/>
              </w:rPr>
              <w:t xml:space="preserve">    </w:t>
            </w:r>
            <w:r w:rsidRPr="006447A8">
              <w:rPr>
                <w:color w:val="000000"/>
                <w:sz w:val="20"/>
              </w:rPr>
              <w:t>302 13</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r>
      <w:tr w:rsidR="006447A8" w:rsidRPr="006447A8" w:rsidTr="00A32BB7">
        <w:trPr>
          <w:gridAfter w:val="1"/>
          <w:wAfter w:w="11" w:type="dxa"/>
          <w:trHeight w:val="255"/>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оплате работ, услуг;</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302 20</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7 186 633,32</w:t>
            </w: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7 186 633,32</w:t>
            </w: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23 997 200,13</w:t>
            </w: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23 966 906,73</w:t>
            </w: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22 207 321,69</w:t>
            </w: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22 202 296,05</w:t>
            </w:r>
          </w:p>
        </w:tc>
      </w:tr>
      <w:tr w:rsidR="006447A8" w:rsidRPr="006447A8" w:rsidTr="00A32BB7">
        <w:trPr>
          <w:gridAfter w:val="1"/>
          <w:wAfter w:w="11" w:type="dxa"/>
          <w:trHeight w:val="255"/>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операциям с активами;</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302 30</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2 244 304,76</w:t>
            </w: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2 244 304,76</w:t>
            </w: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4 447 562,27</w:t>
            </w: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4 447 562,27</w:t>
            </w: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1 529 085,53</w:t>
            </w: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1 529 085,53</w:t>
            </w:r>
          </w:p>
        </w:tc>
      </w:tr>
      <w:tr w:rsidR="006447A8" w:rsidRPr="006447A8" w:rsidTr="00A32BB7">
        <w:trPr>
          <w:gridAfter w:val="1"/>
          <w:wAfter w:w="11" w:type="dxa"/>
          <w:trHeight w:val="255"/>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социальному обеспечению;</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302 60</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r>
      <w:tr w:rsidR="006447A8" w:rsidRPr="006447A8" w:rsidTr="00A32BB7">
        <w:trPr>
          <w:gridAfter w:val="1"/>
          <w:wAfter w:w="11" w:type="dxa"/>
          <w:trHeight w:val="51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lastRenderedPageBreak/>
              <w:t>налогам, пошлинам, сборам и иным обязательным платежам;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303 00</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774 664 037,57</w:t>
            </w: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774 904 247,35</w:t>
            </w: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r>
      <w:tr w:rsidR="006447A8" w:rsidRPr="006447A8" w:rsidTr="00A32BB7">
        <w:trPr>
          <w:gridAfter w:val="1"/>
          <w:wAfter w:w="11" w:type="dxa"/>
          <w:trHeight w:val="51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межбюджетным трансфертам предоставленным;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302 51</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10 395 557 640,69</w:t>
            </w: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10 395 557 640,69</w:t>
            </w: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r>
      <w:tr w:rsidR="006447A8" w:rsidRPr="006447A8" w:rsidTr="00A32BB7">
        <w:trPr>
          <w:gridAfter w:val="1"/>
          <w:wAfter w:w="11" w:type="dxa"/>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rPr>
                <w:color w:val="000000"/>
                <w:sz w:val="20"/>
              </w:rPr>
            </w:pPr>
            <w:r w:rsidRPr="006447A8">
              <w:rPr>
                <w:color w:val="000000"/>
                <w:sz w:val="20"/>
              </w:rPr>
              <w:t>субсидиям, грантам, имущественным взносам предоставленным;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302 50</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r>
      <w:tr w:rsidR="006447A8" w:rsidRPr="006447A8" w:rsidTr="00A32BB7">
        <w:trPr>
          <w:gridAfter w:val="1"/>
          <w:wAfter w:w="11" w:type="dxa"/>
          <w:trHeight w:val="51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обслуживанию государственного (муниципального) долга;</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301 00</w:t>
            </w:r>
          </w:p>
        </w:tc>
        <w:tc>
          <w:tcPr>
            <w:tcW w:w="1564"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16"/>
                <w:szCs w:val="16"/>
              </w:rPr>
            </w:pPr>
            <w:r w:rsidRPr="006447A8">
              <w:rPr>
                <w:color w:val="000000"/>
                <w:sz w:val="16"/>
                <w:szCs w:val="16"/>
              </w:rPr>
              <w:t>5 908 960,28</w:t>
            </w:r>
          </w:p>
        </w:tc>
        <w:tc>
          <w:tcPr>
            <w:tcW w:w="1417"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75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59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c>
          <w:tcPr>
            <w:tcW w:w="1779"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A32BB7">
            <w:pPr>
              <w:jc w:val="center"/>
              <w:rPr>
                <w:color w:val="000000"/>
                <w:sz w:val="20"/>
              </w:rPr>
            </w:pPr>
          </w:p>
        </w:tc>
      </w:tr>
      <w:tr w:rsidR="00A32BB7" w:rsidRPr="006447A8" w:rsidTr="00A32BB7">
        <w:trPr>
          <w:gridAfter w:val="1"/>
          <w:wAfter w:w="11" w:type="dxa"/>
          <w:trHeight w:val="180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3. Общая величина активов на конец периода, в том числе нефинансовых активов и финансовых активов, а также показатели по следующим активам: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Код вида фин. Обеспечения</w:t>
            </w:r>
          </w:p>
        </w:tc>
        <w:tc>
          <w:tcPr>
            <w:tcW w:w="1276"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Номер (код) счета бюджетного учета</w:t>
            </w:r>
          </w:p>
        </w:tc>
        <w:tc>
          <w:tcPr>
            <w:tcW w:w="2981"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Бюджетные единицы (участники бюджетного процесса)</w:t>
            </w:r>
            <w:r w:rsidRPr="006447A8">
              <w:rPr>
                <w:b/>
                <w:bCs/>
                <w:color w:val="000000"/>
                <w:sz w:val="20"/>
                <w:vertAlign w:val="superscript"/>
              </w:rPr>
              <w:t>1</w:t>
            </w:r>
          </w:p>
        </w:tc>
        <w:tc>
          <w:tcPr>
            <w:tcW w:w="3358"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Бюджетные (автономные) учреждения (БУ/АУ)</w:t>
            </w:r>
            <w:r w:rsidRPr="006447A8">
              <w:rPr>
                <w:b/>
                <w:bCs/>
                <w:color w:val="000000"/>
                <w:sz w:val="20"/>
                <w:vertAlign w:val="superscript"/>
              </w:rPr>
              <w:t>2</w:t>
            </w:r>
          </w:p>
        </w:tc>
        <w:tc>
          <w:tcPr>
            <w:tcW w:w="3558"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Внебюджетные государственные единицы (ГУП/МУП/ГК)</w:t>
            </w:r>
            <w:r w:rsidRPr="006447A8">
              <w:rPr>
                <w:b/>
                <w:bCs/>
                <w:color w:val="000000"/>
                <w:sz w:val="20"/>
                <w:vertAlign w:val="superscript"/>
              </w:rPr>
              <w:t>3</w:t>
            </w:r>
          </w:p>
        </w:tc>
      </w:tr>
      <w:tr w:rsidR="006447A8" w:rsidRPr="006447A8" w:rsidTr="00A32BB7">
        <w:trPr>
          <w:gridAfter w:val="1"/>
          <w:wAfter w:w="11" w:type="dxa"/>
          <w:trHeight w:val="30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недвижимому имуществу;</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101 10</w:t>
            </w:r>
          </w:p>
        </w:tc>
        <w:tc>
          <w:tcPr>
            <w:tcW w:w="1564"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jc w:val="center"/>
              <w:rPr>
                <w:color w:val="000000"/>
                <w:sz w:val="16"/>
                <w:szCs w:val="16"/>
              </w:rPr>
            </w:pPr>
            <w:r w:rsidRPr="006447A8">
              <w:rPr>
                <w:color w:val="000000"/>
                <w:sz w:val="16"/>
                <w:szCs w:val="16"/>
              </w:rPr>
              <w:t>15 642 131 446,39</w:t>
            </w:r>
          </w:p>
        </w:tc>
        <w:tc>
          <w:tcPr>
            <w:tcW w:w="1417"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5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r>
      <w:tr w:rsidR="006447A8" w:rsidRPr="006447A8" w:rsidTr="00A32BB7">
        <w:trPr>
          <w:gridAfter w:val="1"/>
          <w:wAfter w:w="11" w:type="dxa"/>
          <w:trHeight w:val="30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непроизведенным активам;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103 00</w:t>
            </w:r>
          </w:p>
        </w:tc>
        <w:tc>
          <w:tcPr>
            <w:tcW w:w="1564"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jc w:val="center"/>
              <w:rPr>
                <w:color w:val="000000"/>
                <w:sz w:val="16"/>
                <w:szCs w:val="16"/>
              </w:rPr>
            </w:pPr>
            <w:r w:rsidRPr="006447A8">
              <w:rPr>
                <w:color w:val="000000"/>
                <w:sz w:val="16"/>
                <w:szCs w:val="16"/>
              </w:rPr>
              <w:t>658 956 778,73</w:t>
            </w:r>
          </w:p>
        </w:tc>
        <w:tc>
          <w:tcPr>
            <w:tcW w:w="1417"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5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r>
      <w:tr w:rsidR="006447A8" w:rsidRPr="006447A8" w:rsidTr="00A32BB7">
        <w:trPr>
          <w:gridAfter w:val="1"/>
          <w:wAfter w:w="11" w:type="dxa"/>
          <w:trHeight w:val="765"/>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имуществу, составляющему государственную (муниципальную) казну;</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108 00</w:t>
            </w:r>
          </w:p>
        </w:tc>
        <w:tc>
          <w:tcPr>
            <w:tcW w:w="1564"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jc w:val="center"/>
              <w:rPr>
                <w:color w:val="000000"/>
                <w:sz w:val="16"/>
                <w:szCs w:val="16"/>
              </w:rPr>
            </w:pPr>
            <w:r w:rsidRPr="006447A8">
              <w:rPr>
                <w:color w:val="000000"/>
                <w:sz w:val="16"/>
                <w:szCs w:val="16"/>
              </w:rPr>
              <w:t>3 775 651 587,55</w:t>
            </w:r>
          </w:p>
        </w:tc>
        <w:tc>
          <w:tcPr>
            <w:tcW w:w="1417"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5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r>
      <w:tr w:rsidR="006447A8" w:rsidRPr="006447A8" w:rsidTr="00A32BB7">
        <w:trPr>
          <w:gridAfter w:val="1"/>
          <w:wAfter w:w="11" w:type="dxa"/>
          <w:trHeight w:val="255"/>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денежным средствам учреждения;</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201 30</w:t>
            </w:r>
          </w:p>
        </w:tc>
        <w:tc>
          <w:tcPr>
            <w:tcW w:w="1564"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jc w:val="center"/>
              <w:rPr>
                <w:color w:val="000000"/>
                <w:sz w:val="16"/>
                <w:szCs w:val="16"/>
              </w:rPr>
            </w:pPr>
            <w:r w:rsidRPr="006447A8">
              <w:rPr>
                <w:color w:val="000000"/>
                <w:sz w:val="16"/>
                <w:szCs w:val="16"/>
              </w:rPr>
              <w:t>711 605,05</w:t>
            </w:r>
          </w:p>
        </w:tc>
        <w:tc>
          <w:tcPr>
            <w:tcW w:w="1417"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5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r>
      <w:tr w:rsidR="006447A8" w:rsidRPr="006447A8" w:rsidTr="00A32BB7">
        <w:trPr>
          <w:gridAfter w:val="1"/>
          <w:wAfter w:w="11" w:type="dxa"/>
          <w:trHeight w:val="255"/>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финансовым вложениям;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204 20</w:t>
            </w:r>
          </w:p>
        </w:tc>
        <w:tc>
          <w:tcPr>
            <w:tcW w:w="1564"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5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r>
      <w:tr w:rsidR="006447A8" w:rsidRPr="006447A8" w:rsidTr="00A32BB7">
        <w:trPr>
          <w:gridAfter w:val="1"/>
          <w:wAfter w:w="11" w:type="dxa"/>
          <w:trHeight w:val="255"/>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расчетам по доходам;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205 00</w:t>
            </w:r>
          </w:p>
        </w:tc>
        <w:tc>
          <w:tcPr>
            <w:tcW w:w="1564"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jc w:val="center"/>
              <w:rPr>
                <w:color w:val="000000"/>
                <w:sz w:val="16"/>
                <w:szCs w:val="16"/>
              </w:rPr>
            </w:pPr>
            <w:r w:rsidRPr="006447A8">
              <w:rPr>
                <w:color w:val="000000"/>
                <w:sz w:val="16"/>
                <w:szCs w:val="16"/>
              </w:rPr>
              <w:t>1 753 608 014,18</w:t>
            </w:r>
          </w:p>
        </w:tc>
        <w:tc>
          <w:tcPr>
            <w:tcW w:w="1417"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5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r>
      <w:tr w:rsidR="006447A8" w:rsidRPr="006447A8" w:rsidTr="00A32BB7">
        <w:trPr>
          <w:gridAfter w:val="1"/>
          <w:wAfter w:w="11" w:type="dxa"/>
          <w:trHeight w:val="51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6447A8" w:rsidRPr="006447A8" w:rsidRDefault="006447A8" w:rsidP="006447A8">
            <w:pPr>
              <w:rPr>
                <w:color w:val="000000"/>
                <w:sz w:val="20"/>
              </w:rPr>
            </w:pPr>
            <w:r w:rsidRPr="006447A8">
              <w:rPr>
                <w:color w:val="000000"/>
                <w:sz w:val="20"/>
              </w:rPr>
              <w:t>расчетам по предоставленным кредитам, займам (ссудам);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207 00</w:t>
            </w:r>
          </w:p>
        </w:tc>
        <w:tc>
          <w:tcPr>
            <w:tcW w:w="1564"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jc w:val="center"/>
              <w:rPr>
                <w:color w:val="000000"/>
                <w:sz w:val="16"/>
                <w:szCs w:val="16"/>
              </w:rPr>
            </w:pPr>
            <w:r w:rsidRPr="006447A8">
              <w:rPr>
                <w:color w:val="000000"/>
                <w:sz w:val="16"/>
                <w:szCs w:val="16"/>
              </w:rPr>
              <w:t>430 186 600,00</w:t>
            </w:r>
          </w:p>
        </w:tc>
        <w:tc>
          <w:tcPr>
            <w:tcW w:w="1417"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5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r>
      <w:tr w:rsidR="00A32BB7" w:rsidRPr="006447A8" w:rsidTr="00EF62BD">
        <w:trPr>
          <w:gridAfter w:val="1"/>
          <w:wAfter w:w="11" w:type="dxa"/>
          <w:trHeight w:val="107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 xml:space="preserve"> 4. Общая величина обязательств на конец периода, а также показатели по следующим обязательствам: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Код вида фин. Обеспечения</w:t>
            </w:r>
          </w:p>
        </w:tc>
        <w:tc>
          <w:tcPr>
            <w:tcW w:w="1276"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Номер (код) счета бюджетного учета</w:t>
            </w:r>
          </w:p>
        </w:tc>
        <w:tc>
          <w:tcPr>
            <w:tcW w:w="2981"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Бюджетные единицы (участники бюджетного процесса)</w:t>
            </w:r>
            <w:r w:rsidRPr="006447A8">
              <w:rPr>
                <w:b/>
                <w:bCs/>
                <w:color w:val="000000"/>
                <w:sz w:val="20"/>
                <w:vertAlign w:val="superscript"/>
              </w:rPr>
              <w:t>1</w:t>
            </w:r>
          </w:p>
        </w:tc>
        <w:tc>
          <w:tcPr>
            <w:tcW w:w="3358"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Бюджетные (автономные) учреждения (БУ/АУ)</w:t>
            </w:r>
            <w:r w:rsidRPr="006447A8">
              <w:rPr>
                <w:b/>
                <w:bCs/>
                <w:color w:val="000000"/>
                <w:sz w:val="20"/>
                <w:vertAlign w:val="superscript"/>
              </w:rPr>
              <w:t>2</w:t>
            </w:r>
          </w:p>
        </w:tc>
        <w:tc>
          <w:tcPr>
            <w:tcW w:w="3558" w:type="dxa"/>
            <w:gridSpan w:val="2"/>
            <w:tcBorders>
              <w:top w:val="single" w:sz="4" w:space="0" w:color="auto"/>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b/>
                <w:bCs/>
                <w:color w:val="000000"/>
                <w:sz w:val="20"/>
              </w:rPr>
            </w:pPr>
            <w:r w:rsidRPr="006447A8">
              <w:rPr>
                <w:b/>
                <w:bCs/>
                <w:color w:val="000000"/>
                <w:sz w:val="20"/>
              </w:rPr>
              <w:t>Внебюджетные государственные единицы (ГУП/МУП/ГК)</w:t>
            </w:r>
            <w:r w:rsidRPr="006447A8">
              <w:rPr>
                <w:b/>
                <w:bCs/>
                <w:color w:val="000000"/>
                <w:sz w:val="20"/>
                <w:vertAlign w:val="superscript"/>
              </w:rPr>
              <w:t>3</w:t>
            </w:r>
          </w:p>
        </w:tc>
      </w:tr>
      <w:tr w:rsidR="006447A8" w:rsidRPr="006447A8" w:rsidTr="00A32BB7">
        <w:trPr>
          <w:gridAfter w:val="1"/>
          <w:wAfter w:w="11" w:type="dxa"/>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rPr>
                <w:color w:val="000000"/>
                <w:sz w:val="20"/>
              </w:rPr>
            </w:pPr>
            <w:r w:rsidRPr="006447A8">
              <w:rPr>
                <w:color w:val="000000"/>
                <w:sz w:val="20"/>
              </w:rPr>
              <w:t>расчетам с кредиторами по долговым обязательствам;</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301 00</w:t>
            </w:r>
          </w:p>
        </w:tc>
        <w:tc>
          <w:tcPr>
            <w:tcW w:w="1564"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jc w:val="center"/>
              <w:rPr>
                <w:color w:val="000000"/>
                <w:sz w:val="16"/>
                <w:szCs w:val="16"/>
              </w:rPr>
            </w:pPr>
            <w:r w:rsidRPr="006447A8">
              <w:rPr>
                <w:color w:val="000000"/>
                <w:sz w:val="16"/>
                <w:szCs w:val="16"/>
              </w:rPr>
              <w:t>2 523 714 311,62</w:t>
            </w:r>
          </w:p>
        </w:tc>
        <w:tc>
          <w:tcPr>
            <w:tcW w:w="1417"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5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r>
      <w:tr w:rsidR="006447A8" w:rsidRPr="006447A8" w:rsidTr="00A32BB7">
        <w:trPr>
          <w:gridAfter w:val="1"/>
          <w:wAfter w:w="11" w:type="dxa"/>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rPr>
                <w:color w:val="000000"/>
                <w:sz w:val="20"/>
              </w:rPr>
            </w:pPr>
            <w:r w:rsidRPr="006447A8">
              <w:rPr>
                <w:color w:val="000000"/>
                <w:sz w:val="20"/>
              </w:rPr>
              <w:t>прочим расчетам с кредиторами;</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302 00</w:t>
            </w:r>
          </w:p>
        </w:tc>
        <w:tc>
          <w:tcPr>
            <w:tcW w:w="1564"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jc w:val="center"/>
              <w:rPr>
                <w:color w:val="000000"/>
                <w:sz w:val="16"/>
                <w:szCs w:val="16"/>
              </w:rPr>
            </w:pPr>
            <w:r w:rsidRPr="006447A8">
              <w:rPr>
                <w:color w:val="000000"/>
                <w:sz w:val="16"/>
                <w:szCs w:val="16"/>
              </w:rPr>
              <w:t>2 054 071 195,34</w:t>
            </w:r>
          </w:p>
        </w:tc>
        <w:tc>
          <w:tcPr>
            <w:tcW w:w="1417"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5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r>
      <w:tr w:rsidR="006447A8" w:rsidRPr="006447A8" w:rsidTr="00A32BB7">
        <w:trPr>
          <w:gridAfter w:val="1"/>
          <w:wAfter w:w="11" w:type="dxa"/>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6447A8" w:rsidRPr="006447A8" w:rsidRDefault="006447A8" w:rsidP="006447A8">
            <w:pPr>
              <w:rPr>
                <w:color w:val="000000"/>
                <w:sz w:val="20"/>
              </w:rPr>
            </w:pPr>
            <w:r w:rsidRPr="006447A8">
              <w:rPr>
                <w:color w:val="000000"/>
                <w:sz w:val="20"/>
              </w:rPr>
              <w:t>расчетам по платежам в бюджеты.</w:t>
            </w:r>
          </w:p>
        </w:tc>
        <w:tc>
          <w:tcPr>
            <w:tcW w:w="1135" w:type="dxa"/>
            <w:tcBorders>
              <w:top w:val="nil"/>
              <w:left w:val="nil"/>
              <w:bottom w:val="single" w:sz="4" w:space="0" w:color="auto"/>
              <w:right w:val="single" w:sz="4" w:space="0" w:color="auto"/>
            </w:tcBorders>
            <w:shd w:val="clear" w:color="auto" w:fill="auto"/>
            <w:vAlign w:val="center"/>
            <w:hideMark/>
          </w:tcPr>
          <w:p w:rsidR="006447A8" w:rsidRPr="006447A8" w:rsidRDefault="006447A8" w:rsidP="006447A8">
            <w:pPr>
              <w:jc w:val="center"/>
              <w:rPr>
                <w:color w:val="000000"/>
                <w:sz w:val="20"/>
              </w:rPr>
            </w:pPr>
            <w:r w:rsidRPr="006447A8">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447A8" w:rsidRPr="006447A8" w:rsidRDefault="006447A8" w:rsidP="006447A8">
            <w:pPr>
              <w:jc w:val="center"/>
              <w:rPr>
                <w:color w:val="000000"/>
                <w:sz w:val="20"/>
              </w:rPr>
            </w:pPr>
            <w:r w:rsidRPr="006447A8">
              <w:rPr>
                <w:color w:val="000000"/>
                <w:sz w:val="20"/>
              </w:rPr>
              <w:t>303 00</w:t>
            </w:r>
          </w:p>
        </w:tc>
        <w:tc>
          <w:tcPr>
            <w:tcW w:w="1564"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jc w:val="center"/>
              <w:rPr>
                <w:color w:val="000000"/>
                <w:sz w:val="16"/>
                <w:szCs w:val="16"/>
              </w:rPr>
            </w:pPr>
            <w:r w:rsidRPr="006447A8">
              <w:rPr>
                <w:color w:val="000000"/>
                <w:sz w:val="16"/>
                <w:szCs w:val="16"/>
              </w:rPr>
              <w:t>2 614 651,77</w:t>
            </w:r>
          </w:p>
        </w:tc>
        <w:tc>
          <w:tcPr>
            <w:tcW w:w="1417"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5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c>
          <w:tcPr>
            <w:tcW w:w="1779" w:type="dxa"/>
            <w:tcBorders>
              <w:top w:val="nil"/>
              <w:left w:val="nil"/>
              <w:bottom w:val="single" w:sz="4" w:space="0" w:color="auto"/>
              <w:right w:val="single" w:sz="4" w:space="0" w:color="auto"/>
            </w:tcBorders>
            <w:shd w:val="clear" w:color="auto" w:fill="auto"/>
            <w:noWrap/>
            <w:vAlign w:val="bottom"/>
            <w:hideMark/>
          </w:tcPr>
          <w:p w:rsidR="006447A8" w:rsidRPr="006447A8" w:rsidRDefault="006447A8" w:rsidP="006447A8">
            <w:pPr>
              <w:rPr>
                <w:color w:val="000000"/>
                <w:sz w:val="20"/>
              </w:rPr>
            </w:pPr>
            <w:r w:rsidRPr="006447A8">
              <w:rPr>
                <w:color w:val="000000"/>
                <w:sz w:val="20"/>
              </w:rPr>
              <w:t> </w:t>
            </w:r>
          </w:p>
        </w:tc>
      </w:tr>
    </w:tbl>
    <w:p w:rsidR="006447A8" w:rsidRDefault="006447A8" w:rsidP="006447A8">
      <w:pPr>
        <w:jc w:val="center"/>
        <w:rPr>
          <w:b/>
          <w:szCs w:val="28"/>
        </w:rPr>
      </w:pPr>
    </w:p>
    <w:p w:rsidR="006447A8" w:rsidRDefault="006447A8">
      <w:pPr>
        <w:rPr>
          <w:b/>
          <w:szCs w:val="28"/>
        </w:rPr>
      </w:pPr>
      <w:r>
        <w:rPr>
          <w:b/>
          <w:szCs w:val="28"/>
        </w:rPr>
        <w:br w:type="page"/>
      </w:r>
    </w:p>
    <w:p w:rsidR="006447A8" w:rsidRDefault="006447A8" w:rsidP="006447A8">
      <w:pPr>
        <w:jc w:val="center"/>
        <w:rPr>
          <w:b/>
          <w:szCs w:val="28"/>
        </w:rPr>
        <w:sectPr w:rsidR="006447A8" w:rsidSect="006447A8">
          <w:pgSz w:w="16840" w:h="11907" w:orient="landscape" w:code="9"/>
          <w:pgMar w:top="1701" w:right="1559" w:bottom="567" w:left="851" w:header="720" w:footer="720" w:gutter="0"/>
          <w:cols w:space="720"/>
          <w:titlePg/>
          <w:docGrid w:linePitch="381"/>
        </w:sectPr>
      </w:pPr>
    </w:p>
    <w:p w:rsidR="006447A8" w:rsidRDefault="006447A8" w:rsidP="006447A8">
      <w:pPr>
        <w:spacing w:line="276" w:lineRule="auto"/>
        <w:ind w:firstLine="709"/>
        <w:jc w:val="center"/>
        <w:rPr>
          <w:rFonts w:eastAsia="Calibri"/>
          <w:b/>
          <w:color w:val="000000"/>
          <w:szCs w:val="28"/>
          <w:lang w:eastAsia="en-US"/>
        </w:rPr>
      </w:pPr>
      <w:r w:rsidRPr="00435C25">
        <w:rPr>
          <w:rFonts w:eastAsia="Calibri"/>
          <w:b/>
          <w:color w:val="000000"/>
          <w:szCs w:val="28"/>
          <w:lang w:eastAsia="en-US"/>
        </w:rPr>
        <w:lastRenderedPageBreak/>
        <w:t>Информация об исправленных ошибках прошлых лет, отраженная по коду 03 «Исправление ошибок прошлых лет» в сведениях об изменении остатков валюты баланса (</w:t>
      </w:r>
      <w:hyperlink r:id="rId20" w:history="1">
        <w:r w:rsidRPr="00435C25">
          <w:rPr>
            <w:rFonts w:eastAsia="Calibri"/>
            <w:b/>
            <w:color w:val="000000"/>
            <w:szCs w:val="28"/>
            <w:lang w:eastAsia="en-US"/>
          </w:rPr>
          <w:t>ф. 0503</w:t>
        </w:r>
        <w:r w:rsidR="006741E9">
          <w:rPr>
            <w:rFonts w:eastAsia="Calibri"/>
            <w:b/>
            <w:color w:val="000000"/>
            <w:szCs w:val="28"/>
            <w:lang w:eastAsia="en-US"/>
          </w:rPr>
          <w:t>1</w:t>
        </w:r>
        <w:bookmarkStart w:id="2" w:name="_GoBack"/>
        <w:bookmarkEnd w:id="2"/>
        <w:r w:rsidRPr="00435C25">
          <w:rPr>
            <w:rFonts w:eastAsia="Calibri"/>
            <w:b/>
            <w:color w:val="000000"/>
            <w:szCs w:val="28"/>
            <w:lang w:eastAsia="en-US"/>
          </w:rPr>
          <w:t>73</w:t>
        </w:r>
      </w:hyperlink>
      <w:r w:rsidRPr="00435C25">
        <w:rPr>
          <w:rFonts w:eastAsia="Calibri"/>
          <w:b/>
          <w:color w:val="000000"/>
          <w:szCs w:val="28"/>
          <w:lang w:eastAsia="en-US"/>
        </w:rPr>
        <w:t>)</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46"/>
        <w:gridCol w:w="1734"/>
        <w:gridCol w:w="1457"/>
        <w:gridCol w:w="1270"/>
        <w:gridCol w:w="1660"/>
        <w:gridCol w:w="1335"/>
      </w:tblGrid>
      <w:tr w:rsidR="006447A8" w:rsidRPr="00435C25" w:rsidTr="006C7B2C">
        <w:trPr>
          <w:trHeight w:val="300"/>
        </w:trPr>
        <w:tc>
          <w:tcPr>
            <w:tcW w:w="1447" w:type="dxa"/>
            <w:vMerge w:val="restart"/>
            <w:shd w:val="clear" w:color="auto" w:fill="auto"/>
            <w:vAlign w:val="center"/>
            <w:hideMark/>
          </w:tcPr>
          <w:p w:rsidR="006447A8" w:rsidRPr="00435C25" w:rsidRDefault="006447A8" w:rsidP="00A32BB7">
            <w:pPr>
              <w:jc w:val="center"/>
              <w:rPr>
                <w:color w:val="000000"/>
                <w:sz w:val="16"/>
                <w:szCs w:val="16"/>
              </w:rPr>
            </w:pPr>
            <w:r w:rsidRPr="00435C25">
              <w:rPr>
                <w:color w:val="000000"/>
                <w:sz w:val="16"/>
                <w:szCs w:val="16"/>
              </w:rPr>
              <w:t>Код счета бюджетного учета</w:t>
            </w:r>
          </w:p>
        </w:tc>
        <w:tc>
          <w:tcPr>
            <w:tcW w:w="1446" w:type="dxa"/>
            <w:vMerge w:val="restart"/>
            <w:shd w:val="clear" w:color="auto" w:fill="auto"/>
            <w:vAlign w:val="center"/>
            <w:hideMark/>
          </w:tcPr>
          <w:p w:rsidR="006447A8" w:rsidRPr="00435C25" w:rsidRDefault="006447A8" w:rsidP="00A32BB7">
            <w:pPr>
              <w:jc w:val="center"/>
              <w:rPr>
                <w:color w:val="000000"/>
                <w:sz w:val="16"/>
                <w:szCs w:val="16"/>
              </w:rPr>
            </w:pPr>
            <w:r w:rsidRPr="00435C25">
              <w:rPr>
                <w:color w:val="000000"/>
                <w:sz w:val="16"/>
                <w:szCs w:val="16"/>
              </w:rPr>
              <w:t>Сумма изменений, руб.</w:t>
            </w:r>
          </w:p>
        </w:tc>
        <w:tc>
          <w:tcPr>
            <w:tcW w:w="7456" w:type="dxa"/>
            <w:gridSpan w:val="5"/>
            <w:shd w:val="clear" w:color="auto" w:fill="auto"/>
            <w:noWrap/>
            <w:vAlign w:val="center"/>
            <w:hideMark/>
          </w:tcPr>
          <w:p w:rsidR="006447A8" w:rsidRPr="00435C25" w:rsidRDefault="006447A8" w:rsidP="00A32BB7">
            <w:pPr>
              <w:jc w:val="center"/>
              <w:rPr>
                <w:color w:val="000000"/>
                <w:sz w:val="16"/>
                <w:szCs w:val="16"/>
              </w:rPr>
            </w:pPr>
            <w:r w:rsidRPr="00435C25">
              <w:rPr>
                <w:color w:val="000000"/>
                <w:sz w:val="16"/>
                <w:szCs w:val="16"/>
              </w:rPr>
              <w:t>в том числе по коду причины (руб.)</w:t>
            </w:r>
          </w:p>
        </w:tc>
      </w:tr>
      <w:tr w:rsidR="006447A8" w:rsidRPr="00435C25" w:rsidTr="006C7B2C">
        <w:trPr>
          <w:trHeight w:val="300"/>
        </w:trPr>
        <w:tc>
          <w:tcPr>
            <w:tcW w:w="1447" w:type="dxa"/>
            <w:vMerge/>
            <w:vAlign w:val="center"/>
            <w:hideMark/>
          </w:tcPr>
          <w:p w:rsidR="006447A8" w:rsidRPr="00435C25" w:rsidRDefault="006447A8" w:rsidP="00A32BB7">
            <w:pPr>
              <w:rPr>
                <w:color w:val="000000"/>
                <w:sz w:val="16"/>
                <w:szCs w:val="16"/>
              </w:rPr>
            </w:pPr>
          </w:p>
        </w:tc>
        <w:tc>
          <w:tcPr>
            <w:tcW w:w="1446" w:type="dxa"/>
            <w:vMerge/>
            <w:vAlign w:val="center"/>
            <w:hideMark/>
          </w:tcPr>
          <w:p w:rsidR="006447A8" w:rsidRPr="00435C25" w:rsidRDefault="006447A8" w:rsidP="00A32BB7">
            <w:pPr>
              <w:rPr>
                <w:color w:val="000000"/>
                <w:sz w:val="16"/>
                <w:szCs w:val="16"/>
              </w:rPr>
            </w:pPr>
          </w:p>
        </w:tc>
        <w:tc>
          <w:tcPr>
            <w:tcW w:w="1734" w:type="dxa"/>
            <w:vMerge w:val="restart"/>
            <w:shd w:val="clear" w:color="auto" w:fill="auto"/>
            <w:vAlign w:val="center"/>
            <w:hideMark/>
          </w:tcPr>
          <w:p w:rsidR="006447A8" w:rsidRPr="00435C25" w:rsidRDefault="006447A8" w:rsidP="00A32BB7">
            <w:pPr>
              <w:jc w:val="center"/>
              <w:rPr>
                <w:color w:val="000000"/>
                <w:sz w:val="16"/>
                <w:szCs w:val="16"/>
              </w:rPr>
            </w:pPr>
            <w:r w:rsidRPr="00435C25">
              <w:rPr>
                <w:color w:val="000000"/>
                <w:sz w:val="16"/>
                <w:szCs w:val="16"/>
              </w:rPr>
              <w:t>03.1 "несвоевременное поступление первичных учетных документов"</w:t>
            </w:r>
          </w:p>
        </w:tc>
        <w:tc>
          <w:tcPr>
            <w:tcW w:w="1457" w:type="dxa"/>
            <w:vMerge w:val="restart"/>
            <w:shd w:val="clear" w:color="auto" w:fill="auto"/>
            <w:vAlign w:val="center"/>
            <w:hideMark/>
          </w:tcPr>
          <w:p w:rsidR="006447A8" w:rsidRPr="00435C25" w:rsidRDefault="006447A8" w:rsidP="00A32BB7">
            <w:pPr>
              <w:jc w:val="center"/>
              <w:rPr>
                <w:color w:val="000000"/>
                <w:sz w:val="16"/>
                <w:szCs w:val="16"/>
              </w:rPr>
            </w:pPr>
            <w:r w:rsidRPr="00435C25">
              <w:rPr>
                <w:color w:val="000000"/>
                <w:sz w:val="16"/>
                <w:szCs w:val="16"/>
              </w:rPr>
              <w:t>03.2 "несвоевременное отражение фактов хозяйственной жизни в регистрах бухгалтерского учета"</w:t>
            </w:r>
          </w:p>
        </w:tc>
        <w:tc>
          <w:tcPr>
            <w:tcW w:w="1270" w:type="dxa"/>
            <w:vMerge w:val="restart"/>
            <w:shd w:val="clear" w:color="auto" w:fill="auto"/>
            <w:vAlign w:val="center"/>
            <w:hideMark/>
          </w:tcPr>
          <w:p w:rsidR="006447A8" w:rsidRPr="00435C25" w:rsidRDefault="006447A8" w:rsidP="00A32BB7">
            <w:pPr>
              <w:jc w:val="center"/>
              <w:rPr>
                <w:color w:val="000000"/>
                <w:sz w:val="16"/>
                <w:szCs w:val="16"/>
              </w:rPr>
            </w:pPr>
            <w:r w:rsidRPr="00435C25">
              <w:rPr>
                <w:color w:val="000000"/>
                <w:sz w:val="16"/>
                <w:szCs w:val="16"/>
              </w:rPr>
              <w:t>03.3 "ошибки в применении счетов бухгалтерского учета"</w:t>
            </w:r>
          </w:p>
        </w:tc>
        <w:tc>
          <w:tcPr>
            <w:tcW w:w="1660" w:type="dxa"/>
            <w:vMerge w:val="restart"/>
            <w:shd w:val="clear" w:color="auto" w:fill="auto"/>
            <w:vAlign w:val="center"/>
            <w:hideMark/>
          </w:tcPr>
          <w:p w:rsidR="006447A8" w:rsidRPr="00435C25" w:rsidRDefault="006447A8" w:rsidP="00A32BB7">
            <w:pPr>
              <w:jc w:val="center"/>
              <w:rPr>
                <w:color w:val="000000"/>
                <w:sz w:val="16"/>
                <w:szCs w:val="16"/>
              </w:rPr>
            </w:pPr>
            <w:r w:rsidRPr="00435C25">
              <w:rPr>
                <w:color w:val="000000"/>
                <w:sz w:val="16"/>
                <w:szCs w:val="16"/>
              </w:rPr>
              <w:t>03.4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tc>
        <w:tc>
          <w:tcPr>
            <w:tcW w:w="1335" w:type="dxa"/>
            <w:vMerge w:val="restart"/>
            <w:shd w:val="clear" w:color="auto" w:fill="auto"/>
            <w:vAlign w:val="center"/>
            <w:hideMark/>
          </w:tcPr>
          <w:p w:rsidR="006447A8" w:rsidRPr="00435C25" w:rsidRDefault="006447A8" w:rsidP="00A32BB7">
            <w:pPr>
              <w:jc w:val="center"/>
              <w:rPr>
                <w:color w:val="000000"/>
                <w:sz w:val="16"/>
                <w:szCs w:val="16"/>
              </w:rPr>
            </w:pPr>
            <w:r w:rsidRPr="00435C25">
              <w:rPr>
                <w:color w:val="000000"/>
                <w:sz w:val="16"/>
                <w:szCs w:val="16"/>
              </w:rPr>
              <w:t>03.5 "иные причины"</w:t>
            </w:r>
          </w:p>
        </w:tc>
      </w:tr>
      <w:tr w:rsidR="006447A8" w:rsidRPr="00435C25" w:rsidTr="006C7B2C">
        <w:trPr>
          <w:trHeight w:val="300"/>
        </w:trPr>
        <w:tc>
          <w:tcPr>
            <w:tcW w:w="1447" w:type="dxa"/>
            <w:vMerge/>
            <w:vAlign w:val="center"/>
            <w:hideMark/>
          </w:tcPr>
          <w:p w:rsidR="006447A8" w:rsidRPr="00435C25" w:rsidRDefault="006447A8" w:rsidP="00A32BB7">
            <w:pPr>
              <w:rPr>
                <w:color w:val="000000"/>
                <w:sz w:val="16"/>
                <w:szCs w:val="16"/>
              </w:rPr>
            </w:pPr>
          </w:p>
        </w:tc>
        <w:tc>
          <w:tcPr>
            <w:tcW w:w="1446" w:type="dxa"/>
            <w:vMerge/>
            <w:vAlign w:val="center"/>
            <w:hideMark/>
          </w:tcPr>
          <w:p w:rsidR="006447A8" w:rsidRPr="00435C25" w:rsidRDefault="006447A8" w:rsidP="00A32BB7">
            <w:pPr>
              <w:rPr>
                <w:color w:val="000000"/>
                <w:sz w:val="16"/>
                <w:szCs w:val="16"/>
              </w:rPr>
            </w:pPr>
          </w:p>
        </w:tc>
        <w:tc>
          <w:tcPr>
            <w:tcW w:w="1734" w:type="dxa"/>
            <w:vMerge/>
            <w:vAlign w:val="center"/>
            <w:hideMark/>
          </w:tcPr>
          <w:p w:rsidR="006447A8" w:rsidRPr="00435C25" w:rsidRDefault="006447A8" w:rsidP="00A32BB7">
            <w:pPr>
              <w:rPr>
                <w:color w:val="000000"/>
                <w:sz w:val="16"/>
                <w:szCs w:val="16"/>
              </w:rPr>
            </w:pPr>
          </w:p>
        </w:tc>
        <w:tc>
          <w:tcPr>
            <w:tcW w:w="1457" w:type="dxa"/>
            <w:vMerge/>
            <w:vAlign w:val="center"/>
            <w:hideMark/>
          </w:tcPr>
          <w:p w:rsidR="006447A8" w:rsidRPr="00435C25" w:rsidRDefault="006447A8" w:rsidP="00A32BB7">
            <w:pPr>
              <w:rPr>
                <w:color w:val="000000"/>
                <w:sz w:val="16"/>
                <w:szCs w:val="16"/>
              </w:rPr>
            </w:pPr>
          </w:p>
        </w:tc>
        <w:tc>
          <w:tcPr>
            <w:tcW w:w="1270" w:type="dxa"/>
            <w:vMerge/>
            <w:vAlign w:val="center"/>
            <w:hideMark/>
          </w:tcPr>
          <w:p w:rsidR="006447A8" w:rsidRPr="00435C25" w:rsidRDefault="006447A8" w:rsidP="00A32BB7">
            <w:pPr>
              <w:rPr>
                <w:color w:val="000000"/>
                <w:sz w:val="16"/>
                <w:szCs w:val="16"/>
              </w:rPr>
            </w:pPr>
          </w:p>
        </w:tc>
        <w:tc>
          <w:tcPr>
            <w:tcW w:w="1660" w:type="dxa"/>
            <w:vMerge/>
            <w:vAlign w:val="center"/>
            <w:hideMark/>
          </w:tcPr>
          <w:p w:rsidR="006447A8" w:rsidRPr="00435C25" w:rsidRDefault="006447A8" w:rsidP="00A32BB7">
            <w:pPr>
              <w:rPr>
                <w:color w:val="000000"/>
                <w:sz w:val="16"/>
                <w:szCs w:val="16"/>
              </w:rPr>
            </w:pPr>
          </w:p>
        </w:tc>
        <w:tc>
          <w:tcPr>
            <w:tcW w:w="1335" w:type="dxa"/>
            <w:vMerge/>
            <w:vAlign w:val="center"/>
            <w:hideMark/>
          </w:tcPr>
          <w:p w:rsidR="006447A8" w:rsidRPr="00435C25" w:rsidRDefault="006447A8" w:rsidP="00A32BB7">
            <w:pPr>
              <w:rPr>
                <w:color w:val="000000"/>
                <w:sz w:val="16"/>
                <w:szCs w:val="16"/>
              </w:rPr>
            </w:pPr>
          </w:p>
        </w:tc>
      </w:tr>
      <w:tr w:rsidR="006447A8" w:rsidRPr="00435C25" w:rsidTr="006C7B2C">
        <w:trPr>
          <w:trHeight w:val="962"/>
        </w:trPr>
        <w:tc>
          <w:tcPr>
            <w:tcW w:w="1447" w:type="dxa"/>
            <w:vMerge/>
            <w:vAlign w:val="center"/>
            <w:hideMark/>
          </w:tcPr>
          <w:p w:rsidR="006447A8" w:rsidRPr="00435C25" w:rsidRDefault="006447A8" w:rsidP="00A32BB7">
            <w:pPr>
              <w:rPr>
                <w:color w:val="000000"/>
                <w:sz w:val="16"/>
                <w:szCs w:val="16"/>
              </w:rPr>
            </w:pPr>
          </w:p>
        </w:tc>
        <w:tc>
          <w:tcPr>
            <w:tcW w:w="1446" w:type="dxa"/>
            <w:vMerge/>
            <w:vAlign w:val="center"/>
            <w:hideMark/>
          </w:tcPr>
          <w:p w:rsidR="006447A8" w:rsidRPr="00435C25" w:rsidRDefault="006447A8" w:rsidP="00A32BB7">
            <w:pPr>
              <w:rPr>
                <w:color w:val="000000"/>
                <w:sz w:val="16"/>
                <w:szCs w:val="16"/>
              </w:rPr>
            </w:pPr>
          </w:p>
        </w:tc>
        <w:tc>
          <w:tcPr>
            <w:tcW w:w="1734" w:type="dxa"/>
            <w:vMerge/>
            <w:vAlign w:val="center"/>
            <w:hideMark/>
          </w:tcPr>
          <w:p w:rsidR="006447A8" w:rsidRPr="00435C25" w:rsidRDefault="006447A8" w:rsidP="00A32BB7">
            <w:pPr>
              <w:rPr>
                <w:color w:val="000000"/>
                <w:sz w:val="16"/>
                <w:szCs w:val="16"/>
              </w:rPr>
            </w:pPr>
          </w:p>
        </w:tc>
        <w:tc>
          <w:tcPr>
            <w:tcW w:w="1457" w:type="dxa"/>
            <w:vMerge/>
            <w:vAlign w:val="center"/>
            <w:hideMark/>
          </w:tcPr>
          <w:p w:rsidR="006447A8" w:rsidRPr="00435C25" w:rsidRDefault="006447A8" w:rsidP="00A32BB7">
            <w:pPr>
              <w:rPr>
                <w:color w:val="000000"/>
                <w:sz w:val="16"/>
                <w:szCs w:val="16"/>
              </w:rPr>
            </w:pPr>
          </w:p>
        </w:tc>
        <w:tc>
          <w:tcPr>
            <w:tcW w:w="1270" w:type="dxa"/>
            <w:vMerge/>
            <w:vAlign w:val="center"/>
            <w:hideMark/>
          </w:tcPr>
          <w:p w:rsidR="006447A8" w:rsidRPr="00435C25" w:rsidRDefault="006447A8" w:rsidP="00A32BB7">
            <w:pPr>
              <w:rPr>
                <w:color w:val="000000"/>
                <w:sz w:val="16"/>
                <w:szCs w:val="16"/>
              </w:rPr>
            </w:pPr>
          </w:p>
        </w:tc>
        <w:tc>
          <w:tcPr>
            <w:tcW w:w="1660" w:type="dxa"/>
            <w:vMerge/>
            <w:vAlign w:val="center"/>
            <w:hideMark/>
          </w:tcPr>
          <w:p w:rsidR="006447A8" w:rsidRPr="00435C25" w:rsidRDefault="006447A8" w:rsidP="00A32BB7">
            <w:pPr>
              <w:rPr>
                <w:color w:val="000000"/>
                <w:sz w:val="16"/>
                <w:szCs w:val="16"/>
              </w:rPr>
            </w:pPr>
          </w:p>
        </w:tc>
        <w:tc>
          <w:tcPr>
            <w:tcW w:w="1335" w:type="dxa"/>
            <w:vMerge/>
            <w:vAlign w:val="center"/>
            <w:hideMark/>
          </w:tcPr>
          <w:p w:rsidR="006447A8" w:rsidRPr="00435C25" w:rsidRDefault="006447A8" w:rsidP="00A32BB7">
            <w:pPr>
              <w:rPr>
                <w:color w:val="000000"/>
                <w:sz w:val="16"/>
                <w:szCs w:val="16"/>
              </w:rPr>
            </w:pPr>
          </w:p>
        </w:tc>
      </w:tr>
      <w:tr w:rsidR="006447A8" w:rsidRPr="00435C25" w:rsidTr="006C7B2C">
        <w:trPr>
          <w:trHeight w:val="300"/>
        </w:trPr>
        <w:tc>
          <w:tcPr>
            <w:tcW w:w="1447" w:type="dxa"/>
            <w:shd w:val="clear" w:color="auto" w:fill="auto"/>
            <w:noWrap/>
            <w:vAlign w:val="bottom"/>
            <w:hideMark/>
          </w:tcPr>
          <w:p w:rsidR="006447A8" w:rsidRPr="00435C25" w:rsidRDefault="006447A8" w:rsidP="00A32BB7">
            <w:pPr>
              <w:jc w:val="center"/>
              <w:rPr>
                <w:color w:val="000000"/>
                <w:sz w:val="16"/>
                <w:szCs w:val="16"/>
              </w:rPr>
            </w:pPr>
            <w:r w:rsidRPr="00435C25">
              <w:rPr>
                <w:color w:val="000000"/>
                <w:sz w:val="16"/>
                <w:szCs w:val="16"/>
              </w:rPr>
              <w:t>1</w:t>
            </w:r>
          </w:p>
        </w:tc>
        <w:tc>
          <w:tcPr>
            <w:tcW w:w="1446" w:type="dxa"/>
            <w:shd w:val="clear" w:color="auto" w:fill="auto"/>
            <w:noWrap/>
            <w:vAlign w:val="center"/>
            <w:hideMark/>
          </w:tcPr>
          <w:p w:rsidR="006447A8" w:rsidRPr="00435C25" w:rsidRDefault="006447A8" w:rsidP="00A32BB7">
            <w:pPr>
              <w:jc w:val="center"/>
              <w:rPr>
                <w:color w:val="000000"/>
                <w:sz w:val="16"/>
                <w:szCs w:val="16"/>
              </w:rPr>
            </w:pPr>
            <w:r w:rsidRPr="00435C25">
              <w:rPr>
                <w:color w:val="000000"/>
                <w:sz w:val="16"/>
                <w:szCs w:val="16"/>
              </w:rPr>
              <w:t>2</w:t>
            </w:r>
          </w:p>
        </w:tc>
        <w:tc>
          <w:tcPr>
            <w:tcW w:w="1734" w:type="dxa"/>
            <w:shd w:val="clear" w:color="auto" w:fill="auto"/>
            <w:vAlign w:val="center"/>
            <w:hideMark/>
          </w:tcPr>
          <w:p w:rsidR="006447A8" w:rsidRPr="00435C25" w:rsidRDefault="006447A8" w:rsidP="00A32BB7">
            <w:pPr>
              <w:jc w:val="center"/>
              <w:rPr>
                <w:color w:val="000000"/>
                <w:sz w:val="16"/>
                <w:szCs w:val="16"/>
              </w:rPr>
            </w:pPr>
            <w:r w:rsidRPr="00435C25">
              <w:rPr>
                <w:color w:val="000000"/>
                <w:sz w:val="16"/>
                <w:szCs w:val="16"/>
              </w:rPr>
              <w:t>3</w:t>
            </w:r>
          </w:p>
        </w:tc>
        <w:tc>
          <w:tcPr>
            <w:tcW w:w="1457" w:type="dxa"/>
            <w:shd w:val="clear" w:color="auto" w:fill="auto"/>
            <w:vAlign w:val="center"/>
            <w:hideMark/>
          </w:tcPr>
          <w:p w:rsidR="006447A8" w:rsidRPr="00435C25" w:rsidRDefault="006447A8" w:rsidP="00A32BB7">
            <w:pPr>
              <w:jc w:val="center"/>
              <w:rPr>
                <w:color w:val="000000"/>
                <w:sz w:val="16"/>
                <w:szCs w:val="16"/>
              </w:rPr>
            </w:pPr>
            <w:r w:rsidRPr="00435C25">
              <w:rPr>
                <w:color w:val="000000"/>
                <w:sz w:val="16"/>
                <w:szCs w:val="16"/>
              </w:rPr>
              <w:t>4</w:t>
            </w:r>
          </w:p>
        </w:tc>
        <w:tc>
          <w:tcPr>
            <w:tcW w:w="1270" w:type="dxa"/>
            <w:shd w:val="clear" w:color="auto" w:fill="auto"/>
            <w:noWrap/>
            <w:vAlign w:val="center"/>
            <w:hideMark/>
          </w:tcPr>
          <w:p w:rsidR="006447A8" w:rsidRPr="00435C25" w:rsidRDefault="006447A8" w:rsidP="00A32BB7">
            <w:pPr>
              <w:jc w:val="center"/>
              <w:rPr>
                <w:color w:val="000000"/>
                <w:sz w:val="16"/>
                <w:szCs w:val="16"/>
              </w:rPr>
            </w:pPr>
            <w:r w:rsidRPr="00435C25">
              <w:rPr>
                <w:color w:val="000000"/>
                <w:sz w:val="16"/>
                <w:szCs w:val="16"/>
              </w:rPr>
              <w:t>5</w:t>
            </w:r>
          </w:p>
        </w:tc>
        <w:tc>
          <w:tcPr>
            <w:tcW w:w="1660" w:type="dxa"/>
            <w:shd w:val="clear" w:color="auto" w:fill="auto"/>
            <w:vAlign w:val="center"/>
            <w:hideMark/>
          </w:tcPr>
          <w:p w:rsidR="006447A8" w:rsidRPr="00435C25" w:rsidRDefault="006447A8" w:rsidP="00A32BB7">
            <w:pPr>
              <w:jc w:val="center"/>
              <w:rPr>
                <w:color w:val="000000"/>
                <w:sz w:val="16"/>
                <w:szCs w:val="16"/>
              </w:rPr>
            </w:pPr>
            <w:r w:rsidRPr="00435C25">
              <w:rPr>
                <w:color w:val="000000"/>
                <w:sz w:val="16"/>
                <w:szCs w:val="16"/>
              </w:rPr>
              <w:t>6</w:t>
            </w:r>
          </w:p>
        </w:tc>
        <w:tc>
          <w:tcPr>
            <w:tcW w:w="1335" w:type="dxa"/>
            <w:shd w:val="clear" w:color="auto" w:fill="auto"/>
            <w:noWrap/>
            <w:vAlign w:val="center"/>
            <w:hideMark/>
          </w:tcPr>
          <w:p w:rsidR="006447A8" w:rsidRPr="00435C25" w:rsidRDefault="006447A8" w:rsidP="00A32BB7">
            <w:pPr>
              <w:jc w:val="center"/>
              <w:rPr>
                <w:color w:val="000000"/>
                <w:sz w:val="16"/>
                <w:szCs w:val="16"/>
              </w:rPr>
            </w:pPr>
            <w:r w:rsidRPr="00435C25">
              <w:rPr>
                <w:color w:val="000000"/>
                <w:sz w:val="16"/>
                <w:szCs w:val="16"/>
              </w:rPr>
              <w:t>7</w:t>
            </w:r>
          </w:p>
        </w:tc>
      </w:tr>
      <w:tr w:rsidR="006C7B2C" w:rsidRPr="00435C25" w:rsidTr="006C7B2C">
        <w:trPr>
          <w:trHeight w:val="327"/>
        </w:trPr>
        <w:tc>
          <w:tcPr>
            <w:tcW w:w="1447" w:type="dxa"/>
            <w:shd w:val="clear" w:color="auto" w:fill="auto"/>
            <w:noWrap/>
            <w:vAlign w:val="bottom"/>
            <w:hideMark/>
          </w:tcPr>
          <w:p w:rsidR="006C7B2C" w:rsidRDefault="006C7B2C" w:rsidP="006C7B2C">
            <w:pPr>
              <w:rPr>
                <w:color w:val="000000"/>
                <w:sz w:val="20"/>
              </w:rPr>
            </w:pPr>
            <w:r>
              <w:rPr>
                <w:color w:val="000000"/>
                <w:sz w:val="20"/>
              </w:rPr>
              <w:t>Счета актива баланса, итого</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329 149 130,59</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56 602 354,86</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14 766 566,54</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240 829 137,00</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644 322,39</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16 306 749,80</w:t>
            </w:r>
          </w:p>
        </w:tc>
      </w:tr>
      <w:tr w:rsidR="006C7B2C" w:rsidRPr="00435C25" w:rsidTr="006C7B2C">
        <w:trPr>
          <w:trHeight w:val="263"/>
        </w:trPr>
        <w:tc>
          <w:tcPr>
            <w:tcW w:w="1447" w:type="dxa"/>
            <w:shd w:val="clear" w:color="auto" w:fill="auto"/>
            <w:noWrap/>
            <w:vAlign w:val="center"/>
            <w:hideMark/>
          </w:tcPr>
          <w:p w:rsidR="006C7B2C" w:rsidRDefault="006C7B2C" w:rsidP="006C7B2C">
            <w:pPr>
              <w:jc w:val="center"/>
              <w:rPr>
                <w:color w:val="000000"/>
                <w:sz w:val="20"/>
              </w:rPr>
            </w:pPr>
            <w:r>
              <w:rPr>
                <w:color w:val="000000"/>
                <w:sz w:val="20"/>
              </w:rPr>
              <w:t>в том числе:</w:t>
            </w:r>
          </w:p>
        </w:tc>
        <w:tc>
          <w:tcPr>
            <w:tcW w:w="1446" w:type="dxa"/>
            <w:shd w:val="clear" w:color="auto" w:fill="auto"/>
            <w:noWrap/>
            <w:vAlign w:val="center"/>
            <w:hideMark/>
          </w:tcPr>
          <w:p w:rsidR="006C7B2C" w:rsidRPr="006C7B2C" w:rsidRDefault="006C7B2C" w:rsidP="006C7B2C">
            <w:pPr>
              <w:jc w:val="center"/>
              <w:rPr>
                <w:color w:val="000000"/>
                <w:sz w:val="16"/>
                <w:szCs w:val="16"/>
              </w:rPr>
            </w:pPr>
          </w:p>
        </w:tc>
        <w:tc>
          <w:tcPr>
            <w:tcW w:w="1734" w:type="dxa"/>
            <w:shd w:val="clear" w:color="auto" w:fill="auto"/>
            <w:noWrap/>
            <w:vAlign w:val="center"/>
            <w:hideMark/>
          </w:tcPr>
          <w:p w:rsidR="006C7B2C" w:rsidRPr="006C7B2C" w:rsidRDefault="006C7B2C" w:rsidP="006C7B2C">
            <w:pPr>
              <w:jc w:val="center"/>
              <w:rPr>
                <w:color w:val="000000"/>
                <w:sz w:val="16"/>
                <w:szCs w:val="16"/>
              </w:rPr>
            </w:pPr>
          </w:p>
        </w:tc>
        <w:tc>
          <w:tcPr>
            <w:tcW w:w="1457" w:type="dxa"/>
            <w:shd w:val="clear" w:color="auto" w:fill="auto"/>
            <w:noWrap/>
            <w:vAlign w:val="center"/>
            <w:hideMark/>
          </w:tcPr>
          <w:p w:rsidR="006C7B2C" w:rsidRPr="006C7B2C" w:rsidRDefault="006C7B2C" w:rsidP="006C7B2C">
            <w:pPr>
              <w:jc w:val="center"/>
              <w:rPr>
                <w:color w:val="000000"/>
                <w:sz w:val="16"/>
                <w:szCs w:val="16"/>
              </w:rPr>
            </w:pPr>
          </w:p>
        </w:tc>
        <w:tc>
          <w:tcPr>
            <w:tcW w:w="1270" w:type="dxa"/>
            <w:shd w:val="clear" w:color="auto" w:fill="auto"/>
            <w:vAlign w:val="center"/>
            <w:hideMark/>
          </w:tcPr>
          <w:p w:rsidR="006C7B2C" w:rsidRPr="006C7B2C" w:rsidRDefault="006C7B2C" w:rsidP="006C7B2C">
            <w:pPr>
              <w:jc w:val="center"/>
              <w:rPr>
                <w:color w:val="000000"/>
                <w:sz w:val="16"/>
                <w:szCs w:val="16"/>
              </w:rPr>
            </w:pPr>
          </w:p>
        </w:tc>
        <w:tc>
          <w:tcPr>
            <w:tcW w:w="1660" w:type="dxa"/>
            <w:shd w:val="clear" w:color="auto" w:fill="auto"/>
            <w:noWrap/>
            <w:vAlign w:val="center"/>
            <w:hideMark/>
          </w:tcPr>
          <w:p w:rsidR="006C7B2C" w:rsidRPr="006C7B2C" w:rsidRDefault="006C7B2C" w:rsidP="006C7B2C">
            <w:pPr>
              <w:jc w:val="center"/>
              <w:rPr>
                <w:color w:val="000000"/>
                <w:sz w:val="16"/>
                <w:szCs w:val="16"/>
              </w:rPr>
            </w:pPr>
          </w:p>
        </w:tc>
        <w:tc>
          <w:tcPr>
            <w:tcW w:w="1335" w:type="dxa"/>
            <w:shd w:val="clear" w:color="auto" w:fill="auto"/>
            <w:vAlign w:val="center"/>
            <w:hideMark/>
          </w:tcPr>
          <w:p w:rsidR="006C7B2C" w:rsidRPr="006C7B2C" w:rsidRDefault="006C7B2C" w:rsidP="006C7B2C">
            <w:pPr>
              <w:jc w:val="center"/>
              <w:rPr>
                <w:color w:val="000000"/>
                <w:sz w:val="16"/>
                <w:szCs w:val="16"/>
              </w:rPr>
            </w:pP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010100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2 536 872,00</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- 65 013,00</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1 485 000,00</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1 116 885,00</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010200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2 704 560,00</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2 434 560,00</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25 000,00</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245 000,00</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010300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1,00</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1,00</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010400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625 180,53</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-80 453,00</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265 178,55</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440 454,98</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010500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201 820,89</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-46 309,56</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248 130,45</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010600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241 055 867,00</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481 950,00</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240 573 917,00</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010800</w:t>
            </w:r>
          </w:p>
        </w:tc>
        <w:tc>
          <w:tcPr>
            <w:tcW w:w="1446" w:type="dxa"/>
            <w:shd w:val="clear" w:color="auto" w:fill="auto"/>
            <w:noWrap/>
            <w:vAlign w:val="center"/>
            <w:hideMark/>
          </w:tcPr>
          <w:p w:rsidR="006C7B2C" w:rsidRPr="006C7B2C" w:rsidRDefault="006C7B2C" w:rsidP="006C7B2C">
            <w:pPr>
              <w:jc w:val="center"/>
              <w:rPr>
                <w:color w:val="000000"/>
                <w:sz w:val="16"/>
                <w:szCs w:val="16"/>
              </w:rPr>
            </w:pPr>
            <w:r>
              <w:rPr>
                <w:color w:val="000000"/>
                <w:sz w:val="16"/>
                <w:szCs w:val="16"/>
              </w:rPr>
              <w:t xml:space="preserve">- </w:t>
            </w:r>
            <w:r w:rsidRPr="006C7B2C">
              <w:rPr>
                <w:color w:val="000000"/>
                <w:sz w:val="16"/>
                <w:szCs w:val="16"/>
              </w:rPr>
              <w:t>197 031,24</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197 031,24</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011100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17 236 969,81</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700 000,00</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230 220,00</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16 306 749,81</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020400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13 556 078,58</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13 556 078,58</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020500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52 622 063,35</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52 927 068,56</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305 005,21</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020600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- 3 741,64</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- 3 841,63</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100,00</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                       0,01</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020700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2 101,83</w:t>
            </w:r>
          </w:p>
        </w:tc>
        <w:tc>
          <w:tcPr>
            <w:tcW w:w="1734" w:type="dxa"/>
            <w:shd w:val="clear" w:color="auto" w:fill="auto"/>
            <w:noWrap/>
            <w:vAlign w:val="center"/>
            <w:hideMark/>
          </w:tcPr>
          <w:p w:rsidR="006C7B2C" w:rsidRPr="006C7B2C" w:rsidRDefault="006C7B2C" w:rsidP="006C7B2C">
            <w:pPr>
              <w:jc w:val="center"/>
              <w:rPr>
                <w:color w:val="000000"/>
                <w:sz w:val="16"/>
                <w:szCs w:val="16"/>
              </w:rPr>
            </w:pPr>
            <w:r>
              <w:rPr>
                <w:color w:val="000000"/>
                <w:sz w:val="16"/>
                <w:szCs w:val="16"/>
              </w:rPr>
              <w:t xml:space="preserve">- </w:t>
            </w:r>
            <w:r w:rsidRPr="006C7B2C">
              <w:rPr>
                <w:color w:val="000000"/>
                <w:sz w:val="16"/>
                <w:szCs w:val="16"/>
              </w:rPr>
              <w:t>2 101,83</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020800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- 500,00</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- 500,00</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020900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- 23 301,63</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23 301,63</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030300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96 088,32</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96 088,32</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040150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- 9 333,49</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9 333,49</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noWrap/>
            <w:vAlign w:val="bottom"/>
            <w:hideMark/>
          </w:tcPr>
          <w:p w:rsidR="006C7B2C" w:rsidRDefault="006C7B2C" w:rsidP="006C7B2C">
            <w:pPr>
              <w:rPr>
                <w:color w:val="000000"/>
                <w:sz w:val="20"/>
              </w:rPr>
            </w:pPr>
            <w:r>
              <w:rPr>
                <w:color w:val="000000"/>
                <w:sz w:val="20"/>
              </w:rPr>
              <w:t>Счета пассива баланса, итого</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329 149 130,59</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56 602 354,86</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14 766 566,54</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240 829 137,00</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644 322,39</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16 306 749,80</w:t>
            </w:r>
          </w:p>
        </w:tc>
      </w:tr>
      <w:tr w:rsidR="006C7B2C" w:rsidRPr="00435C25" w:rsidTr="006C7B2C">
        <w:trPr>
          <w:trHeight w:val="300"/>
        </w:trPr>
        <w:tc>
          <w:tcPr>
            <w:tcW w:w="1447" w:type="dxa"/>
            <w:shd w:val="clear" w:color="auto" w:fill="auto"/>
            <w:noWrap/>
            <w:vAlign w:val="bottom"/>
            <w:hideMark/>
          </w:tcPr>
          <w:p w:rsidR="006C7B2C" w:rsidRDefault="006C7B2C" w:rsidP="006C7B2C">
            <w:pPr>
              <w:rPr>
                <w:color w:val="000000"/>
                <w:sz w:val="20"/>
              </w:rPr>
            </w:pPr>
            <w:r>
              <w:rPr>
                <w:color w:val="000000"/>
                <w:sz w:val="20"/>
              </w:rPr>
              <w:t>в том числе:</w:t>
            </w:r>
          </w:p>
        </w:tc>
        <w:tc>
          <w:tcPr>
            <w:tcW w:w="1446" w:type="dxa"/>
            <w:shd w:val="clear" w:color="auto" w:fill="auto"/>
            <w:noWrap/>
            <w:vAlign w:val="center"/>
            <w:hideMark/>
          </w:tcPr>
          <w:p w:rsidR="006C7B2C" w:rsidRPr="006C7B2C" w:rsidRDefault="006C7B2C" w:rsidP="006C7B2C">
            <w:pPr>
              <w:jc w:val="center"/>
              <w:rPr>
                <w:color w:val="000000"/>
                <w:sz w:val="16"/>
                <w:szCs w:val="16"/>
              </w:rPr>
            </w:pPr>
          </w:p>
        </w:tc>
        <w:tc>
          <w:tcPr>
            <w:tcW w:w="1734" w:type="dxa"/>
            <w:shd w:val="clear" w:color="auto" w:fill="auto"/>
            <w:noWrap/>
            <w:vAlign w:val="center"/>
            <w:hideMark/>
          </w:tcPr>
          <w:p w:rsidR="006C7B2C" w:rsidRPr="006C7B2C" w:rsidRDefault="006C7B2C" w:rsidP="006C7B2C">
            <w:pPr>
              <w:jc w:val="center"/>
              <w:rPr>
                <w:color w:val="000000"/>
                <w:sz w:val="16"/>
                <w:szCs w:val="16"/>
              </w:rPr>
            </w:pPr>
          </w:p>
        </w:tc>
        <w:tc>
          <w:tcPr>
            <w:tcW w:w="1457" w:type="dxa"/>
            <w:shd w:val="clear" w:color="auto" w:fill="auto"/>
            <w:noWrap/>
            <w:vAlign w:val="center"/>
            <w:hideMark/>
          </w:tcPr>
          <w:p w:rsidR="006C7B2C" w:rsidRPr="006C7B2C" w:rsidRDefault="006C7B2C" w:rsidP="006C7B2C">
            <w:pPr>
              <w:jc w:val="center"/>
              <w:rPr>
                <w:color w:val="000000"/>
                <w:sz w:val="16"/>
                <w:szCs w:val="16"/>
              </w:rPr>
            </w:pPr>
          </w:p>
        </w:tc>
        <w:tc>
          <w:tcPr>
            <w:tcW w:w="1270" w:type="dxa"/>
            <w:shd w:val="clear" w:color="auto" w:fill="auto"/>
            <w:vAlign w:val="center"/>
            <w:hideMark/>
          </w:tcPr>
          <w:p w:rsidR="006C7B2C" w:rsidRPr="006C7B2C" w:rsidRDefault="006C7B2C" w:rsidP="006C7B2C">
            <w:pPr>
              <w:jc w:val="center"/>
              <w:rPr>
                <w:color w:val="000000"/>
                <w:sz w:val="16"/>
                <w:szCs w:val="16"/>
              </w:rPr>
            </w:pPr>
          </w:p>
        </w:tc>
        <w:tc>
          <w:tcPr>
            <w:tcW w:w="1660" w:type="dxa"/>
            <w:shd w:val="clear" w:color="auto" w:fill="auto"/>
            <w:noWrap/>
            <w:vAlign w:val="center"/>
            <w:hideMark/>
          </w:tcPr>
          <w:p w:rsidR="006C7B2C" w:rsidRPr="006C7B2C" w:rsidRDefault="006C7B2C" w:rsidP="006C7B2C">
            <w:pPr>
              <w:jc w:val="center"/>
              <w:rPr>
                <w:color w:val="000000"/>
                <w:sz w:val="16"/>
                <w:szCs w:val="16"/>
              </w:rPr>
            </w:pPr>
          </w:p>
        </w:tc>
        <w:tc>
          <w:tcPr>
            <w:tcW w:w="1335" w:type="dxa"/>
            <w:shd w:val="clear" w:color="auto" w:fill="auto"/>
            <w:vAlign w:val="center"/>
            <w:hideMark/>
          </w:tcPr>
          <w:p w:rsidR="006C7B2C" w:rsidRPr="006C7B2C" w:rsidRDefault="006C7B2C" w:rsidP="006C7B2C">
            <w:pPr>
              <w:jc w:val="center"/>
              <w:rPr>
                <w:color w:val="000000"/>
                <w:sz w:val="16"/>
                <w:szCs w:val="16"/>
              </w:rPr>
            </w:pP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020500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- 184 672,13</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184 672,13</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020800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- 500,00</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500,00</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020900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23 301,63</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              23 301,63</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030200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2 508,00</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2 508,00</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w:t>
            </w:r>
          </w:p>
        </w:tc>
      </w:tr>
      <w:tr w:rsidR="006C7B2C" w:rsidRPr="00435C25" w:rsidTr="006C7B2C">
        <w:trPr>
          <w:trHeight w:val="300"/>
        </w:trPr>
        <w:tc>
          <w:tcPr>
            <w:tcW w:w="1447" w:type="dxa"/>
            <w:shd w:val="clear" w:color="auto" w:fill="auto"/>
            <w:vAlign w:val="bottom"/>
            <w:hideMark/>
          </w:tcPr>
          <w:p w:rsidR="006C7B2C" w:rsidRDefault="006C7B2C" w:rsidP="006C7B2C">
            <w:pPr>
              <w:jc w:val="center"/>
              <w:rPr>
                <w:color w:val="000000"/>
                <w:sz w:val="20"/>
              </w:rPr>
            </w:pPr>
            <w:r>
              <w:rPr>
                <w:color w:val="000000"/>
                <w:sz w:val="20"/>
              </w:rPr>
              <w:t>040130</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329 355 096,35</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56 785 018,99</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14 766 566,54</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240 829 137,00</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667 624,02</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16 306 749,80</w:t>
            </w:r>
          </w:p>
        </w:tc>
      </w:tr>
      <w:tr w:rsidR="006C7B2C" w:rsidRPr="00435C25" w:rsidTr="006C7B2C">
        <w:trPr>
          <w:trHeight w:val="300"/>
        </w:trPr>
        <w:tc>
          <w:tcPr>
            <w:tcW w:w="1447" w:type="dxa"/>
            <w:shd w:val="clear" w:color="auto" w:fill="auto"/>
            <w:vAlign w:val="bottom"/>
            <w:hideMark/>
          </w:tcPr>
          <w:p w:rsidR="006C7B2C" w:rsidRDefault="006C7B2C" w:rsidP="006C7B2C">
            <w:pPr>
              <w:rPr>
                <w:color w:val="000000"/>
                <w:sz w:val="20"/>
              </w:rPr>
            </w:pPr>
            <w:r>
              <w:rPr>
                <w:color w:val="000000"/>
                <w:sz w:val="20"/>
              </w:rPr>
              <w:t>Счета актива баланса, итого</w:t>
            </w:r>
          </w:p>
        </w:tc>
        <w:tc>
          <w:tcPr>
            <w:tcW w:w="1446"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329 149 130,59</w:t>
            </w:r>
          </w:p>
        </w:tc>
        <w:tc>
          <w:tcPr>
            <w:tcW w:w="1734"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56 602 354,86</w:t>
            </w:r>
          </w:p>
        </w:tc>
        <w:tc>
          <w:tcPr>
            <w:tcW w:w="1457"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14 766 566,54</w:t>
            </w:r>
          </w:p>
        </w:tc>
        <w:tc>
          <w:tcPr>
            <w:tcW w:w="1270"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240 829 137,00</w:t>
            </w:r>
          </w:p>
        </w:tc>
        <w:tc>
          <w:tcPr>
            <w:tcW w:w="1660" w:type="dxa"/>
            <w:shd w:val="clear" w:color="auto" w:fill="auto"/>
            <w:noWrap/>
            <w:vAlign w:val="center"/>
            <w:hideMark/>
          </w:tcPr>
          <w:p w:rsidR="006C7B2C" w:rsidRPr="006C7B2C" w:rsidRDefault="006C7B2C" w:rsidP="006C7B2C">
            <w:pPr>
              <w:jc w:val="center"/>
              <w:rPr>
                <w:color w:val="000000"/>
                <w:sz w:val="16"/>
                <w:szCs w:val="16"/>
              </w:rPr>
            </w:pPr>
            <w:r w:rsidRPr="006C7B2C">
              <w:rPr>
                <w:color w:val="000000"/>
                <w:sz w:val="16"/>
                <w:szCs w:val="16"/>
              </w:rPr>
              <w:t>644 322,39</w:t>
            </w:r>
          </w:p>
        </w:tc>
        <w:tc>
          <w:tcPr>
            <w:tcW w:w="1335" w:type="dxa"/>
            <w:shd w:val="clear" w:color="auto" w:fill="auto"/>
            <w:vAlign w:val="center"/>
            <w:hideMark/>
          </w:tcPr>
          <w:p w:rsidR="006C7B2C" w:rsidRPr="006C7B2C" w:rsidRDefault="006C7B2C" w:rsidP="006C7B2C">
            <w:pPr>
              <w:jc w:val="center"/>
              <w:rPr>
                <w:color w:val="000000"/>
                <w:sz w:val="16"/>
                <w:szCs w:val="16"/>
              </w:rPr>
            </w:pPr>
            <w:r w:rsidRPr="006C7B2C">
              <w:rPr>
                <w:color w:val="000000"/>
                <w:sz w:val="16"/>
                <w:szCs w:val="16"/>
              </w:rPr>
              <w:t>16 306 749,80</w:t>
            </w:r>
          </w:p>
        </w:tc>
      </w:tr>
    </w:tbl>
    <w:p w:rsidR="006447A8" w:rsidRDefault="006447A8" w:rsidP="006447A8">
      <w:pPr>
        <w:spacing w:line="276" w:lineRule="auto"/>
        <w:ind w:firstLine="709"/>
        <w:jc w:val="both"/>
        <w:rPr>
          <w:color w:val="000000"/>
          <w:szCs w:val="24"/>
        </w:rPr>
      </w:pPr>
      <w:r>
        <w:rPr>
          <w:szCs w:val="28"/>
        </w:rPr>
        <w:t xml:space="preserve">По коду причины </w:t>
      </w:r>
      <w:r w:rsidRPr="00435C25">
        <w:rPr>
          <w:color w:val="000000"/>
          <w:szCs w:val="28"/>
        </w:rPr>
        <w:t>03.5 "иные причины"</w:t>
      </w:r>
      <w:r>
        <w:rPr>
          <w:color w:val="000000"/>
          <w:szCs w:val="28"/>
        </w:rPr>
        <w:t xml:space="preserve"> в сумме 16 306 749,80 рублей отражено </w:t>
      </w:r>
      <w:r>
        <w:rPr>
          <w:color w:val="000000"/>
          <w:szCs w:val="24"/>
        </w:rPr>
        <w:t>восстановление в бюджетном учете права пользования активами.</w:t>
      </w:r>
    </w:p>
    <w:p w:rsidR="006447A8" w:rsidRDefault="006447A8" w:rsidP="006447A8">
      <w:pPr>
        <w:spacing w:line="276" w:lineRule="auto"/>
        <w:ind w:firstLine="709"/>
        <w:jc w:val="center"/>
        <w:rPr>
          <w:b/>
          <w:color w:val="000000"/>
          <w:szCs w:val="24"/>
        </w:rPr>
      </w:pPr>
      <w:r w:rsidRPr="00C10CAA">
        <w:rPr>
          <w:b/>
          <w:color w:val="000000"/>
          <w:szCs w:val="24"/>
        </w:rPr>
        <w:lastRenderedPageBreak/>
        <w:t>Информация об остатках средств, привлеченных республиканским</w:t>
      </w:r>
      <w:r>
        <w:rPr>
          <w:b/>
          <w:color w:val="000000"/>
          <w:szCs w:val="24"/>
        </w:rPr>
        <w:t xml:space="preserve"> </w:t>
      </w:r>
      <w:r w:rsidRPr="00C10CAA">
        <w:rPr>
          <w:b/>
          <w:color w:val="000000"/>
          <w:szCs w:val="24"/>
        </w:rPr>
        <w:t>бюджет</w:t>
      </w:r>
      <w:r w:rsidR="00E4650E">
        <w:rPr>
          <w:b/>
          <w:color w:val="000000"/>
          <w:szCs w:val="24"/>
        </w:rPr>
        <w:t>ом</w:t>
      </w:r>
      <w:r w:rsidRPr="00C10CAA">
        <w:rPr>
          <w:b/>
          <w:color w:val="000000"/>
          <w:szCs w:val="24"/>
        </w:rPr>
        <w:t xml:space="preserve"> Республики Алтай</w:t>
      </w:r>
    </w:p>
    <w:p w:rsidR="006447A8" w:rsidRDefault="006447A8" w:rsidP="006447A8">
      <w:pPr>
        <w:spacing w:line="276" w:lineRule="auto"/>
        <w:ind w:firstLine="709"/>
        <w:jc w:val="center"/>
        <w:rPr>
          <w:b/>
          <w:color w:val="000000"/>
          <w:szCs w:val="24"/>
        </w:rPr>
      </w:pPr>
    </w:p>
    <w:tbl>
      <w:tblPr>
        <w:tblW w:w="9661" w:type="dxa"/>
        <w:tblInd w:w="-27" w:type="dxa"/>
        <w:tblLayout w:type="fixed"/>
        <w:tblLook w:val="04A0" w:firstRow="1" w:lastRow="0" w:firstColumn="1" w:lastColumn="0" w:noHBand="0" w:noVBand="1"/>
      </w:tblPr>
      <w:tblGrid>
        <w:gridCol w:w="409"/>
        <w:gridCol w:w="777"/>
        <w:gridCol w:w="1167"/>
        <w:gridCol w:w="1355"/>
        <w:gridCol w:w="1134"/>
        <w:gridCol w:w="1276"/>
        <w:gridCol w:w="992"/>
        <w:gridCol w:w="992"/>
        <w:gridCol w:w="1559"/>
      </w:tblGrid>
      <w:tr w:rsidR="006447A8" w:rsidRPr="00C10CAA" w:rsidTr="00B365D1">
        <w:trPr>
          <w:trHeight w:val="300"/>
        </w:trPr>
        <w:tc>
          <w:tcPr>
            <w:tcW w:w="4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7A8" w:rsidRPr="00C10CAA" w:rsidRDefault="006447A8" w:rsidP="00A32BB7">
            <w:pPr>
              <w:ind w:firstLineChars="100" w:firstLine="160"/>
              <w:rPr>
                <w:sz w:val="16"/>
                <w:szCs w:val="16"/>
              </w:rPr>
            </w:pPr>
            <w:r w:rsidRPr="00C10CAA">
              <w:rPr>
                <w:sz w:val="16"/>
                <w:szCs w:val="16"/>
              </w:rPr>
              <w:t>№</w:t>
            </w:r>
            <w:r w:rsidRPr="00C10CAA">
              <w:rPr>
                <w:sz w:val="16"/>
                <w:szCs w:val="16"/>
              </w:rPr>
              <w:br/>
              <w:t>п/п</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7A8" w:rsidRPr="00C10CAA" w:rsidRDefault="006447A8" w:rsidP="00B365D1">
            <w:pPr>
              <w:rPr>
                <w:color w:val="000000"/>
                <w:sz w:val="16"/>
                <w:szCs w:val="16"/>
              </w:rPr>
            </w:pPr>
            <w:r w:rsidRPr="00C10CAA">
              <w:rPr>
                <w:sz w:val="16"/>
                <w:szCs w:val="16"/>
              </w:rPr>
              <w:t>OKTM</w:t>
            </w:r>
            <w:r w:rsidR="00B365D1">
              <w:rPr>
                <w:sz w:val="16"/>
                <w:szCs w:val="16"/>
              </w:rPr>
              <w:t>О</w:t>
            </w:r>
            <w:r w:rsidRPr="00C10CAA">
              <w:rPr>
                <w:sz w:val="16"/>
                <w:szCs w:val="16"/>
              </w:rPr>
              <w:br/>
              <w:t>бюджета</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7A8" w:rsidRPr="00C10CAA" w:rsidRDefault="006447A8" w:rsidP="00B365D1">
            <w:pPr>
              <w:rPr>
                <w:sz w:val="16"/>
                <w:szCs w:val="16"/>
              </w:rPr>
            </w:pPr>
            <w:r w:rsidRPr="00C10CAA">
              <w:rPr>
                <w:sz w:val="16"/>
                <w:szCs w:val="16"/>
              </w:rPr>
              <w:t>Наименован</w:t>
            </w:r>
            <w:r w:rsidR="00B365D1">
              <w:rPr>
                <w:sz w:val="16"/>
                <w:szCs w:val="16"/>
              </w:rPr>
              <w:t>ие</w:t>
            </w:r>
            <w:r w:rsidRPr="00C10CAA">
              <w:rPr>
                <w:sz w:val="16"/>
                <w:szCs w:val="16"/>
              </w:rPr>
              <w:t xml:space="preserve"> бюджета</w:t>
            </w:r>
          </w:p>
        </w:tc>
        <w:tc>
          <w:tcPr>
            <w:tcW w:w="7308" w:type="dxa"/>
            <w:gridSpan w:val="6"/>
            <w:tcBorders>
              <w:top w:val="single" w:sz="4" w:space="0" w:color="000000"/>
              <w:left w:val="nil"/>
              <w:bottom w:val="single" w:sz="4" w:space="0" w:color="000000"/>
              <w:right w:val="single" w:sz="4" w:space="0" w:color="000000"/>
            </w:tcBorders>
            <w:shd w:val="clear" w:color="auto" w:fill="auto"/>
            <w:hideMark/>
          </w:tcPr>
          <w:p w:rsidR="006447A8" w:rsidRPr="00C10CAA" w:rsidRDefault="006447A8" w:rsidP="00A32BB7">
            <w:pPr>
              <w:jc w:val="center"/>
              <w:rPr>
                <w:sz w:val="16"/>
                <w:szCs w:val="16"/>
              </w:rPr>
            </w:pPr>
            <w:r w:rsidRPr="00C10CAA">
              <w:rPr>
                <w:sz w:val="16"/>
                <w:szCs w:val="16"/>
              </w:rPr>
              <w:t xml:space="preserve">Остаток </w:t>
            </w:r>
            <w:r>
              <w:rPr>
                <w:sz w:val="16"/>
                <w:szCs w:val="16"/>
              </w:rPr>
              <w:t>по счету 1 30275 000 на 01.01.2023</w:t>
            </w:r>
          </w:p>
        </w:tc>
      </w:tr>
      <w:tr w:rsidR="006447A8" w:rsidRPr="00C10CAA" w:rsidTr="00B365D1">
        <w:trPr>
          <w:trHeight w:val="300"/>
        </w:trPr>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6447A8" w:rsidRPr="00C10CAA" w:rsidRDefault="006447A8" w:rsidP="00A32BB7">
            <w:pPr>
              <w:rPr>
                <w:sz w:val="16"/>
                <w:szCs w:val="16"/>
              </w:rPr>
            </w:pPr>
          </w:p>
        </w:tc>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6447A8" w:rsidRPr="00C10CAA" w:rsidRDefault="006447A8" w:rsidP="00A32BB7">
            <w:pPr>
              <w:rPr>
                <w:color w:val="000000"/>
                <w:sz w:val="16"/>
                <w:szCs w:val="16"/>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6447A8" w:rsidRPr="00C10CAA" w:rsidRDefault="006447A8" w:rsidP="00A32BB7">
            <w:pPr>
              <w:rPr>
                <w:sz w:val="16"/>
                <w:szCs w:val="16"/>
              </w:rPr>
            </w:pPr>
          </w:p>
        </w:tc>
        <w:tc>
          <w:tcPr>
            <w:tcW w:w="135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47A8" w:rsidRPr="00C10CAA" w:rsidRDefault="00E4650E" w:rsidP="00A32BB7">
            <w:pPr>
              <w:jc w:val="center"/>
              <w:rPr>
                <w:sz w:val="16"/>
                <w:szCs w:val="16"/>
              </w:rPr>
            </w:pPr>
            <w:r w:rsidRPr="00C10CAA">
              <w:rPr>
                <w:sz w:val="16"/>
                <w:szCs w:val="16"/>
              </w:rPr>
              <w:t>В</w:t>
            </w:r>
            <w:r w:rsidR="006447A8" w:rsidRPr="00C10CAA">
              <w:rPr>
                <w:sz w:val="16"/>
                <w:szCs w:val="16"/>
              </w:rPr>
              <w:t>сего</w:t>
            </w:r>
          </w:p>
        </w:tc>
        <w:tc>
          <w:tcPr>
            <w:tcW w:w="5953" w:type="dxa"/>
            <w:gridSpan w:val="5"/>
            <w:tcBorders>
              <w:top w:val="single" w:sz="4" w:space="0" w:color="000000"/>
              <w:left w:val="nil"/>
              <w:bottom w:val="single" w:sz="4" w:space="0" w:color="000000"/>
              <w:right w:val="single" w:sz="4" w:space="0" w:color="000000"/>
            </w:tcBorders>
            <w:shd w:val="clear" w:color="auto" w:fill="auto"/>
            <w:hideMark/>
          </w:tcPr>
          <w:p w:rsidR="006447A8" w:rsidRPr="00C10CAA" w:rsidRDefault="006447A8" w:rsidP="00A32BB7">
            <w:pPr>
              <w:jc w:val="center"/>
              <w:rPr>
                <w:sz w:val="16"/>
                <w:szCs w:val="16"/>
              </w:rPr>
            </w:pPr>
            <w:r w:rsidRPr="00C10CAA">
              <w:rPr>
                <w:sz w:val="16"/>
                <w:szCs w:val="16"/>
              </w:rPr>
              <w:t>в том числе в части средств, привлеченных:</w:t>
            </w:r>
          </w:p>
        </w:tc>
      </w:tr>
      <w:tr w:rsidR="00B365D1" w:rsidRPr="00C10CAA" w:rsidTr="006C7B2C">
        <w:trPr>
          <w:trHeight w:val="3140"/>
        </w:trPr>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6447A8" w:rsidRPr="00C10CAA" w:rsidRDefault="006447A8" w:rsidP="00A32BB7">
            <w:pPr>
              <w:rPr>
                <w:sz w:val="16"/>
                <w:szCs w:val="16"/>
              </w:rPr>
            </w:pPr>
          </w:p>
        </w:tc>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6447A8" w:rsidRPr="00C10CAA" w:rsidRDefault="006447A8" w:rsidP="00A32BB7">
            <w:pPr>
              <w:rPr>
                <w:color w:val="000000"/>
                <w:sz w:val="16"/>
                <w:szCs w:val="16"/>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6447A8" w:rsidRPr="00C10CAA" w:rsidRDefault="006447A8" w:rsidP="00A32BB7">
            <w:pPr>
              <w:rPr>
                <w:sz w:val="16"/>
                <w:szCs w:val="16"/>
              </w:rPr>
            </w:pPr>
          </w:p>
        </w:tc>
        <w:tc>
          <w:tcPr>
            <w:tcW w:w="1355" w:type="dxa"/>
            <w:vMerge/>
            <w:tcBorders>
              <w:top w:val="nil"/>
              <w:left w:val="single" w:sz="4" w:space="0" w:color="000000"/>
              <w:bottom w:val="single" w:sz="4" w:space="0" w:color="000000"/>
              <w:right w:val="single" w:sz="4" w:space="0" w:color="000000"/>
            </w:tcBorders>
            <w:vAlign w:val="center"/>
            <w:hideMark/>
          </w:tcPr>
          <w:p w:rsidR="006447A8" w:rsidRPr="00C10CAA" w:rsidRDefault="006447A8" w:rsidP="00A32BB7">
            <w:pPr>
              <w:rPr>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rsidR="006447A8" w:rsidRPr="00C10CAA" w:rsidRDefault="006447A8" w:rsidP="00A32BB7">
            <w:pPr>
              <w:jc w:val="center"/>
              <w:rPr>
                <w:color w:val="000000"/>
                <w:sz w:val="16"/>
                <w:szCs w:val="16"/>
              </w:rPr>
            </w:pPr>
            <w:r w:rsidRPr="00C10CAA">
              <w:rPr>
                <w:sz w:val="16"/>
                <w:szCs w:val="16"/>
              </w:rPr>
              <w:t>с казначейских</w:t>
            </w:r>
            <w:r w:rsidRPr="00C10CAA">
              <w:rPr>
                <w:sz w:val="16"/>
                <w:szCs w:val="16"/>
              </w:rPr>
              <w:br/>
              <w:t>счетов для осуществления  и отражения операций с денежными средствами, поступающими во временное распоряжение</w:t>
            </w:r>
            <w:r w:rsidRPr="00C10CAA">
              <w:rPr>
                <w:sz w:val="16"/>
                <w:szCs w:val="16"/>
              </w:rPr>
              <w:br/>
              <w:t>получателей средств бюджета</w:t>
            </w:r>
          </w:p>
        </w:tc>
        <w:tc>
          <w:tcPr>
            <w:tcW w:w="1276" w:type="dxa"/>
            <w:tcBorders>
              <w:top w:val="nil"/>
              <w:left w:val="nil"/>
              <w:bottom w:val="single" w:sz="4" w:space="0" w:color="000000"/>
              <w:right w:val="single" w:sz="4" w:space="0" w:color="000000"/>
            </w:tcBorders>
            <w:shd w:val="clear" w:color="auto" w:fill="auto"/>
            <w:vAlign w:val="center"/>
            <w:hideMark/>
          </w:tcPr>
          <w:p w:rsidR="006447A8" w:rsidRPr="00C10CAA" w:rsidRDefault="006447A8" w:rsidP="00A32BB7">
            <w:pPr>
              <w:jc w:val="center"/>
              <w:rPr>
                <w:sz w:val="16"/>
                <w:szCs w:val="16"/>
              </w:rPr>
            </w:pPr>
            <w:r w:rsidRPr="00C10CAA">
              <w:rPr>
                <w:sz w:val="16"/>
                <w:szCs w:val="16"/>
              </w:rPr>
              <w:t>с казначейских счетов для осуществления  и отражения операций с денежными средствами бюджетных и автономных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6447A8" w:rsidRPr="00C10CAA" w:rsidRDefault="006447A8" w:rsidP="00A32BB7">
            <w:pPr>
              <w:jc w:val="center"/>
              <w:rPr>
                <w:sz w:val="16"/>
                <w:szCs w:val="16"/>
              </w:rPr>
            </w:pPr>
            <w:r w:rsidRPr="00C10CAA">
              <w:rPr>
                <w:sz w:val="16"/>
                <w:szCs w:val="16"/>
              </w:rPr>
              <w:t>с единых счетов бюджетов государственных внебюджетных фондов,</w:t>
            </w:r>
            <w:r w:rsidRPr="00C10CAA">
              <w:rPr>
                <w:sz w:val="16"/>
                <w:szCs w:val="16"/>
              </w:rPr>
              <w:br/>
              <w:t>открытых органу</w:t>
            </w:r>
            <w:r w:rsidRPr="00C10CAA">
              <w:rPr>
                <w:sz w:val="16"/>
                <w:szCs w:val="16"/>
              </w:rPr>
              <w:br/>
              <w:t>управления территориальным государственным внебюджетным фондом</w:t>
            </w:r>
          </w:p>
        </w:tc>
        <w:tc>
          <w:tcPr>
            <w:tcW w:w="992" w:type="dxa"/>
            <w:tcBorders>
              <w:top w:val="nil"/>
              <w:left w:val="nil"/>
              <w:bottom w:val="single" w:sz="4" w:space="0" w:color="000000"/>
              <w:right w:val="single" w:sz="4" w:space="0" w:color="000000"/>
            </w:tcBorders>
            <w:shd w:val="clear" w:color="auto" w:fill="auto"/>
            <w:vAlign w:val="center"/>
            <w:hideMark/>
          </w:tcPr>
          <w:p w:rsidR="006447A8" w:rsidRPr="00C10CAA" w:rsidRDefault="006447A8" w:rsidP="00A32BB7">
            <w:pPr>
              <w:jc w:val="center"/>
              <w:rPr>
                <w:sz w:val="16"/>
                <w:szCs w:val="16"/>
              </w:rPr>
            </w:pPr>
            <w:r w:rsidRPr="00C10CAA">
              <w:rPr>
                <w:sz w:val="16"/>
                <w:szCs w:val="16"/>
              </w:rPr>
              <w:t xml:space="preserve"> казначейских счетов для осуществления и отражения операций с денежными средствами получателей средств из бюджета</w:t>
            </w:r>
          </w:p>
        </w:tc>
        <w:tc>
          <w:tcPr>
            <w:tcW w:w="1559" w:type="dxa"/>
            <w:tcBorders>
              <w:top w:val="nil"/>
              <w:left w:val="nil"/>
              <w:bottom w:val="single" w:sz="4" w:space="0" w:color="000000"/>
              <w:right w:val="single" w:sz="4" w:space="0" w:color="000000"/>
            </w:tcBorders>
            <w:shd w:val="clear" w:color="auto" w:fill="auto"/>
            <w:vAlign w:val="center"/>
            <w:hideMark/>
          </w:tcPr>
          <w:p w:rsidR="006447A8" w:rsidRPr="00C10CAA" w:rsidRDefault="006447A8" w:rsidP="00B365D1">
            <w:pPr>
              <w:ind w:right="32"/>
              <w:jc w:val="center"/>
              <w:rPr>
                <w:color w:val="000000"/>
                <w:sz w:val="16"/>
                <w:szCs w:val="16"/>
              </w:rPr>
            </w:pPr>
            <w:r w:rsidRPr="00C10CAA">
              <w:rPr>
                <w:sz w:val="16"/>
                <w:szCs w:val="16"/>
              </w:rPr>
              <w:t>с  казначейских счетов для осуществления  и отражения операций с денежными средствами участников казначейского сопровождения</w:t>
            </w:r>
          </w:p>
        </w:tc>
      </w:tr>
      <w:tr w:rsidR="00B365D1" w:rsidRPr="00C10CAA" w:rsidTr="006C7B2C">
        <w:trPr>
          <w:trHeight w:val="153"/>
        </w:trPr>
        <w:tc>
          <w:tcPr>
            <w:tcW w:w="409" w:type="dxa"/>
            <w:tcBorders>
              <w:top w:val="nil"/>
              <w:left w:val="single" w:sz="4" w:space="0" w:color="000000"/>
              <w:bottom w:val="single" w:sz="4" w:space="0" w:color="auto"/>
              <w:right w:val="single" w:sz="4" w:space="0" w:color="000000"/>
            </w:tcBorders>
            <w:shd w:val="clear" w:color="auto" w:fill="auto"/>
            <w:noWrap/>
            <w:hideMark/>
          </w:tcPr>
          <w:p w:rsidR="006447A8" w:rsidRPr="00C10CAA" w:rsidRDefault="006447A8" w:rsidP="00A32BB7">
            <w:pPr>
              <w:jc w:val="center"/>
              <w:rPr>
                <w:color w:val="000000"/>
                <w:sz w:val="16"/>
                <w:szCs w:val="16"/>
              </w:rPr>
            </w:pPr>
            <w:r w:rsidRPr="00C10CAA">
              <w:rPr>
                <w:color w:val="000000"/>
                <w:sz w:val="16"/>
                <w:szCs w:val="16"/>
              </w:rPr>
              <w:t>1</w:t>
            </w:r>
          </w:p>
        </w:tc>
        <w:tc>
          <w:tcPr>
            <w:tcW w:w="777" w:type="dxa"/>
            <w:tcBorders>
              <w:top w:val="nil"/>
              <w:left w:val="nil"/>
              <w:bottom w:val="single" w:sz="4" w:space="0" w:color="auto"/>
              <w:right w:val="single" w:sz="4" w:space="0" w:color="000000"/>
            </w:tcBorders>
            <w:shd w:val="clear" w:color="auto" w:fill="auto"/>
            <w:noWrap/>
            <w:hideMark/>
          </w:tcPr>
          <w:p w:rsidR="006447A8" w:rsidRPr="00C10CAA" w:rsidRDefault="006447A8" w:rsidP="00A32BB7">
            <w:pPr>
              <w:jc w:val="center"/>
              <w:rPr>
                <w:color w:val="000000"/>
                <w:sz w:val="16"/>
                <w:szCs w:val="16"/>
              </w:rPr>
            </w:pPr>
            <w:r w:rsidRPr="00C10CAA">
              <w:rPr>
                <w:color w:val="000000"/>
                <w:sz w:val="16"/>
                <w:szCs w:val="16"/>
              </w:rPr>
              <w:t>2</w:t>
            </w:r>
          </w:p>
        </w:tc>
        <w:tc>
          <w:tcPr>
            <w:tcW w:w="1167" w:type="dxa"/>
            <w:tcBorders>
              <w:top w:val="nil"/>
              <w:left w:val="nil"/>
              <w:bottom w:val="single" w:sz="4" w:space="0" w:color="auto"/>
              <w:right w:val="single" w:sz="4" w:space="0" w:color="000000"/>
            </w:tcBorders>
            <w:shd w:val="clear" w:color="auto" w:fill="auto"/>
            <w:noWrap/>
            <w:hideMark/>
          </w:tcPr>
          <w:p w:rsidR="006447A8" w:rsidRPr="00C10CAA" w:rsidRDefault="006447A8" w:rsidP="00A32BB7">
            <w:pPr>
              <w:jc w:val="center"/>
              <w:rPr>
                <w:color w:val="000000"/>
                <w:sz w:val="16"/>
                <w:szCs w:val="16"/>
              </w:rPr>
            </w:pPr>
            <w:r w:rsidRPr="00C10CAA">
              <w:rPr>
                <w:color w:val="000000"/>
                <w:sz w:val="16"/>
                <w:szCs w:val="16"/>
              </w:rPr>
              <w:t>3</w:t>
            </w:r>
          </w:p>
        </w:tc>
        <w:tc>
          <w:tcPr>
            <w:tcW w:w="1355" w:type="dxa"/>
            <w:tcBorders>
              <w:top w:val="nil"/>
              <w:left w:val="nil"/>
              <w:bottom w:val="single" w:sz="4" w:space="0" w:color="auto"/>
              <w:right w:val="single" w:sz="4" w:space="0" w:color="000000"/>
            </w:tcBorders>
            <w:shd w:val="clear" w:color="auto" w:fill="auto"/>
            <w:noWrap/>
            <w:hideMark/>
          </w:tcPr>
          <w:p w:rsidR="006447A8" w:rsidRPr="00C10CAA" w:rsidRDefault="006447A8" w:rsidP="00A32BB7">
            <w:pPr>
              <w:jc w:val="center"/>
              <w:rPr>
                <w:color w:val="000000"/>
                <w:sz w:val="16"/>
                <w:szCs w:val="16"/>
              </w:rPr>
            </w:pPr>
            <w:r w:rsidRPr="00C10CAA">
              <w:rPr>
                <w:color w:val="000000"/>
                <w:sz w:val="16"/>
                <w:szCs w:val="16"/>
              </w:rPr>
              <w:t>4</w:t>
            </w:r>
          </w:p>
        </w:tc>
        <w:tc>
          <w:tcPr>
            <w:tcW w:w="1134" w:type="dxa"/>
            <w:tcBorders>
              <w:top w:val="nil"/>
              <w:left w:val="nil"/>
              <w:bottom w:val="single" w:sz="4" w:space="0" w:color="auto"/>
              <w:right w:val="single" w:sz="4" w:space="0" w:color="000000"/>
            </w:tcBorders>
            <w:shd w:val="clear" w:color="auto" w:fill="auto"/>
            <w:noWrap/>
            <w:hideMark/>
          </w:tcPr>
          <w:p w:rsidR="006447A8" w:rsidRPr="00C10CAA" w:rsidRDefault="006447A8" w:rsidP="00A32BB7">
            <w:pPr>
              <w:jc w:val="center"/>
              <w:rPr>
                <w:color w:val="000000"/>
                <w:sz w:val="16"/>
                <w:szCs w:val="16"/>
              </w:rPr>
            </w:pPr>
            <w:r w:rsidRPr="00C10CAA">
              <w:rPr>
                <w:color w:val="000000"/>
                <w:sz w:val="16"/>
                <w:szCs w:val="16"/>
              </w:rPr>
              <w:t>5</w:t>
            </w:r>
          </w:p>
        </w:tc>
        <w:tc>
          <w:tcPr>
            <w:tcW w:w="1276" w:type="dxa"/>
            <w:tcBorders>
              <w:top w:val="nil"/>
              <w:left w:val="nil"/>
              <w:bottom w:val="single" w:sz="4" w:space="0" w:color="auto"/>
              <w:right w:val="single" w:sz="4" w:space="0" w:color="000000"/>
            </w:tcBorders>
            <w:shd w:val="clear" w:color="auto" w:fill="auto"/>
            <w:noWrap/>
            <w:hideMark/>
          </w:tcPr>
          <w:p w:rsidR="006447A8" w:rsidRPr="00C10CAA" w:rsidRDefault="006447A8" w:rsidP="00A32BB7">
            <w:pPr>
              <w:jc w:val="center"/>
              <w:rPr>
                <w:color w:val="000000"/>
                <w:sz w:val="16"/>
                <w:szCs w:val="16"/>
              </w:rPr>
            </w:pPr>
            <w:r w:rsidRPr="00C10CAA">
              <w:rPr>
                <w:color w:val="000000"/>
                <w:sz w:val="16"/>
                <w:szCs w:val="16"/>
              </w:rPr>
              <w:t>6</w:t>
            </w:r>
          </w:p>
        </w:tc>
        <w:tc>
          <w:tcPr>
            <w:tcW w:w="992" w:type="dxa"/>
            <w:tcBorders>
              <w:top w:val="nil"/>
              <w:left w:val="nil"/>
              <w:bottom w:val="single" w:sz="4" w:space="0" w:color="auto"/>
              <w:right w:val="single" w:sz="4" w:space="0" w:color="000000"/>
            </w:tcBorders>
            <w:shd w:val="clear" w:color="auto" w:fill="auto"/>
            <w:noWrap/>
            <w:hideMark/>
          </w:tcPr>
          <w:p w:rsidR="006447A8" w:rsidRPr="00C10CAA" w:rsidRDefault="006447A8" w:rsidP="00A32BB7">
            <w:pPr>
              <w:jc w:val="center"/>
              <w:rPr>
                <w:color w:val="000000"/>
                <w:sz w:val="16"/>
                <w:szCs w:val="16"/>
              </w:rPr>
            </w:pPr>
            <w:r w:rsidRPr="00C10CAA">
              <w:rPr>
                <w:color w:val="000000"/>
                <w:sz w:val="16"/>
                <w:szCs w:val="16"/>
              </w:rPr>
              <w:t>7</w:t>
            </w:r>
          </w:p>
        </w:tc>
        <w:tc>
          <w:tcPr>
            <w:tcW w:w="992" w:type="dxa"/>
            <w:tcBorders>
              <w:top w:val="nil"/>
              <w:left w:val="nil"/>
              <w:bottom w:val="single" w:sz="4" w:space="0" w:color="auto"/>
              <w:right w:val="single" w:sz="4" w:space="0" w:color="000000"/>
            </w:tcBorders>
            <w:shd w:val="clear" w:color="auto" w:fill="auto"/>
            <w:noWrap/>
            <w:hideMark/>
          </w:tcPr>
          <w:p w:rsidR="006447A8" w:rsidRPr="00C10CAA" w:rsidRDefault="006447A8" w:rsidP="00A32BB7">
            <w:pPr>
              <w:jc w:val="center"/>
              <w:rPr>
                <w:color w:val="000000"/>
                <w:sz w:val="16"/>
                <w:szCs w:val="16"/>
              </w:rPr>
            </w:pPr>
            <w:r w:rsidRPr="00C10CAA">
              <w:rPr>
                <w:color w:val="000000"/>
                <w:sz w:val="16"/>
                <w:szCs w:val="16"/>
              </w:rPr>
              <w:t>8</w:t>
            </w:r>
          </w:p>
        </w:tc>
        <w:tc>
          <w:tcPr>
            <w:tcW w:w="1559" w:type="dxa"/>
            <w:tcBorders>
              <w:top w:val="nil"/>
              <w:left w:val="nil"/>
              <w:bottom w:val="single" w:sz="4" w:space="0" w:color="auto"/>
              <w:right w:val="single" w:sz="4" w:space="0" w:color="000000"/>
            </w:tcBorders>
            <w:shd w:val="clear" w:color="auto" w:fill="auto"/>
            <w:noWrap/>
            <w:hideMark/>
          </w:tcPr>
          <w:p w:rsidR="006447A8" w:rsidRPr="00C10CAA" w:rsidRDefault="006447A8" w:rsidP="00A32BB7">
            <w:pPr>
              <w:jc w:val="center"/>
              <w:rPr>
                <w:color w:val="000000"/>
                <w:sz w:val="16"/>
                <w:szCs w:val="16"/>
              </w:rPr>
            </w:pPr>
            <w:r w:rsidRPr="00C10CAA">
              <w:rPr>
                <w:color w:val="000000"/>
                <w:sz w:val="16"/>
                <w:szCs w:val="16"/>
              </w:rPr>
              <w:t>9</w:t>
            </w:r>
          </w:p>
        </w:tc>
      </w:tr>
      <w:tr w:rsidR="00B365D1" w:rsidRPr="00C10CAA" w:rsidTr="006C7B2C">
        <w:trPr>
          <w:trHeight w:val="991"/>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7A8" w:rsidRPr="00C10CAA" w:rsidRDefault="006447A8" w:rsidP="00A32BB7">
            <w:pPr>
              <w:jc w:val="center"/>
              <w:rPr>
                <w:color w:val="000000"/>
                <w:sz w:val="16"/>
                <w:szCs w:val="16"/>
              </w:rPr>
            </w:pPr>
            <w:r w:rsidRPr="00C10CAA">
              <w:rPr>
                <w:color w:val="000000"/>
                <w:sz w:val="16"/>
                <w:szCs w:val="16"/>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7A8" w:rsidRPr="00C10CAA" w:rsidRDefault="006447A8" w:rsidP="00A32BB7">
            <w:pPr>
              <w:jc w:val="center"/>
              <w:rPr>
                <w:sz w:val="16"/>
                <w:szCs w:val="16"/>
              </w:rPr>
            </w:pPr>
            <w:r w:rsidRPr="00C10CAA">
              <w:rPr>
                <w:sz w:val="16"/>
                <w:szCs w:val="16"/>
              </w:rPr>
              <w:t>84000000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7A8" w:rsidRPr="00C10CAA" w:rsidRDefault="006447A8" w:rsidP="00A32BB7">
            <w:pPr>
              <w:jc w:val="center"/>
              <w:rPr>
                <w:sz w:val="16"/>
                <w:szCs w:val="16"/>
              </w:rPr>
            </w:pPr>
            <w:r w:rsidRPr="00C10CAA">
              <w:rPr>
                <w:sz w:val="16"/>
                <w:szCs w:val="16"/>
              </w:rPr>
              <w:t>Республиканский бюджет Республики Алтай</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7A8" w:rsidRPr="00C10CAA" w:rsidRDefault="006447A8" w:rsidP="00E4650E">
            <w:pPr>
              <w:jc w:val="center"/>
              <w:rPr>
                <w:color w:val="000000"/>
                <w:sz w:val="16"/>
                <w:szCs w:val="16"/>
              </w:rPr>
            </w:pPr>
            <w:r w:rsidRPr="00C10CAA">
              <w:rPr>
                <w:color w:val="000000"/>
                <w:sz w:val="16"/>
                <w:szCs w:val="16"/>
              </w:rPr>
              <w:t>2 053 107 062,87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7A8" w:rsidRPr="00C10CAA" w:rsidRDefault="006447A8" w:rsidP="00A32BB7">
            <w:pPr>
              <w:jc w:val="center"/>
              <w:rPr>
                <w:color w:val="000000"/>
                <w:sz w:val="16"/>
                <w:szCs w:val="16"/>
              </w:rPr>
            </w:pPr>
            <w:r w:rsidRPr="00C10CAA">
              <w:rP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7A8" w:rsidRPr="00C10CAA" w:rsidRDefault="006447A8" w:rsidP="00E4650E">
            <w:pPr>
              <w:jc w:val="center"/>
              <w:rPr>
                <w:color w:val="000000"/>
                <w:sz w:val="16"/>
                <w:szCs w:val="16"/>
              </w:rPr>
            </w:pPr>
            <w:r w:rsidRPr="00C10CAA">
              <w:rPr>
                <w:color w:val="000000"/>
                <w:sz w:val="16"/>
                <w:szCs w:val="16"/>
              </w:rPr>
              <w:t>602 349 829,27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7A8" w:rsidRPr="00C10CAA" w:rsidRDefault="006447A8" w:rsidP="00A32BB7">
            <w:pPr>
              <w:jc w:val="center"/>
              <w:rPr>
                <w:color w:val="000000"/>
                <w:sz w:val="16"/>
                <w:szCs w:val="16"/>
              </w:rPr>
            </w:pPr>
            <w:r w:rsidRPr="00C10CAA">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7A8" w:rsidRPr="00C10CAA" w:rsidRDefault="006447A8" w:rsidP="00A32BB7">
            <w:pPr>
              <w:jc w:val="center"/>
              <w:rPr>
                <w:color w:val="000000"/>
                <w:sz w:val="16"/>
                <w:szCs w:val="16"/>
              </w:rPr>
            </w:pPr>
            <w:r w:rsidRPr="00C10CAA">
              <w:rPr>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7A8" w:rsidRPr="00C10CAA" w:rsidRDefault="006447A8" w:rsidP="00A32BB7">
            <w:pPr>
              <w:jc w:val="center"/>
              <w:rPr>
                <w:color w:val="000000"/>
                <w:sz w:val="16"/>
                <w:szCs w:val="16"/>
              </w:rPr>
            </w:pPr>
            <w:r w:rsidRPr="00C10CAA">
              <w:rPr>
                <w:color w:val="000000"/>
                <w:sz w:val="16"/>
                <w:szCs w:val="16"/>
              </w:rPr>
              <w:t xml:space="preserve">1 450 757 233,60   </w:t>
            </w:r>
          </w:p>
        </w:tc>
      </w:tr>
    </w:tbl>
    <w:p w:rsidR="006447A8" w:rsidRDefault="006447A8" w:rsidP="006447A8">
      <w:pPr>
        <w:autoSpaceDE w:val="0"/>
        <w:autoSpaceDN w:val="0"/>
        <w:adjustRightInd w:val="0"/>
        <w:spacing w:line="276" w:lineRule="auto"/>
        <w:ind w:firstLine="540"/>
        <w:jc w:val="center"/>
        <w:rPr>
          <w:b/>
          <w:szCs w:val="28"/>
        </w:rPr>
      </w:pPr>
    </w:p>
    <w:p w:rsidR="006447A8" w:rsidRPr="005C6694" w:rsidRDefault="006447A8" w:rsidP="006447A8">
      <w:pPr>
        <w:autoSpaceDE w:val="0"/>
        <w:autoSpaceDN w:val="0"/>
        <w:adjustRightInd w:val="0"/>
        <w:spacing w:line="276" w:lineRule="auto"/>
        <w:ind w:firstLine="540"/>
        <w:jc w:val="center"/>
        <w:rPr>
          <w:b/>
          <w:szCs w:val="28"/>
        </w:rPr>
      </w:pPr>
      <w:r w:rsidRPr="005C6694">
        <w:rPr>
          <w:b/>
          <w:szCs w:val="28"/>
        </w:rPr>
        <w:t>РАЗДЕЛ 5 "Прочие вопросы деятельности субъекта бюджетной отчетности"</w:t>
      </w:r>
    </w:p>
    <w:p w:rsidR="006447A8" w:rsidRPr="00157641" w:rsidRDefault="006447A8" w:rsidP="006447A8">
      <w:pPr>
        <w:spacing w:line="276" w:lineRule="auto"/>
        <w:ind w:firstLine="540"/>
        <w:jc w:val="both"/>
        <w:rPr>
          <w:szCs w:val="28"/>
        </w:rPr>
      </w:pPr>
      <w:r w:rsidRPr="00157641">
        <w:rPr>
          <w:szCs w:val="28"/>
        </w:rPr>
        <w:t>Перед составлением годового отчета об исполнении бюджета за 202</w:t>
      </w:r>
      <w:r>
        <w:rPr>
          <w:szCs w:val="28"/>
        </w:rPr>
        <w:t>2</w:t>
      </w:r>
      <w:r w:rsidRPr="00157641">
        <w:rPr>
          <w:szCs w:val="28"/>
        </w:rPr>
        <w:t xml:space="preserve"> год субъектами отчетности</w:t>
      </w:r>
      <w:r w:rsidR="00E4650E">
        <w:rPr>
          <w:szCs w:val="28"/>
        </w:rPr>
        <w:t xml:space="preserve"> республиканского бюджета Республики Алтай</w:t>
      </w:r>
      <w:r w:rsidRPr="00157641">
        <w:rPr>
          <w:szCs w:val="28"/>
        </w:rPr>
        <w:t xml:space="preserve"> была проведена инвентаризация финансовых, нефинансовых активов и обязательств (информация о соответствующих приказах указана в пояснительных записках субъектов отчетности, входящих в состав отчета об исполнении </w:t>
      </w:r>
      <w:r w:rsidR="00E4650E">
        <w:rPr>
          <w:szCs w:val="28"/>
        </w:rPr>
        <w:t xml:space="preserve">республиканского </w:t>
      </w:r>
      <w:r w:rsidRPr="00157641">
        <w:rPr>
          <w:szCs w:val="28"/>
        </w:rPr>
        <w:t xml:space="preserve">бюджета Республики Алтай), при этом </w:t>
      </w:r>
      <w:r>
        <w:rPr>
          <w:szCs w:val="28"/>
        </w:rPr>
        <w:t xml:space="preserve">установленные </w:t>
      </w:r>
      <w:r w:rsidRPr="00157641">
        <w:rPr>
          <w:szCs w:val="28"/>
        </w:rPr>
        <w:t>расхождени</w:t>
      </w:r>
      <w:r>
        <w:rPr>
          <w:szCs w:val="28"/>
        </w:rPr>
        <w:t>я</w:t>
      </w:r>
      <w:r w:rsidRPr="00157641">
        <w:rPr>
          <w:szCs w:val="28"/>
        </w:rPr>
        <w:t xml:space="preserve"> данных инвентаризации с данными бюджетного учета </w:t>
      </w:r>
      <w:r>
        <w:rPr>
          <w:szCs w:val="28"/>
        </w:rPr>
        <w:t>учтены в ходе составления отчетности</w:t>
      </w:r>
      <w:r w:rsidRPr="00157641">
        <w:rPr>
          <w:szCs w:val="28"/>
        </w:rPr>
        <w:t>.</w:t>
      </w:r>
    </w:p>
    <w:p w:rsidR="006447A8" w:rsidRDefault="006447A8" w:rsidP="006C5001">
      <w:pPr>
        <w:spacing w:line="276" w:lineRule="auto"/>
        <w:ind w:firstLine="709"/>
        <w:jc w:val="both"/>
        <w:rPr>
          <w:rFonts w:eastAsia="Calibri"/>
          <w:szCs w:val="28"/>
          <w:lang w:eastAsia="en-US"/>
        </w:rPr>
      </w:pPr>
      <w:r w:rsidRPr="0068725A">
        <w:rPr>
          <w:szCs w:val="28"/>
        </w:rPr>
        <w:t>Со статусом «Показатели отсутствуют» представлен</w:t>
      </w:r>
      <w:r w:rsidR="006C5001">
        <w:rPr>
          <w:szCs w:val="28"/>
        </w:rPr>
        <w:t>а</w:t>
      </w:r>
      <w:r w:rsidRPr="0068725A">
        <w:rPr>
          <w:szCs w:val="28"/>
        </w:rPr>
        <w:t xml:space="preserve"> форм</w:t>
      </w:r>
      <w:r w:rsidR="006C5001">
        <w:rPr>
          <w:szCs w:val="28"/>
        </w:rPr>
        <w:t>а</w:t>
      </w:r>
      <w:r w:rsidRPr="0068725A">
        <w:rPr>
          <w:szCs w:val="28"/>
        </w:rPr>
        <w:t xml:space="preserve"> отчетности</w:t>
      </w:r>
      <w:r w:rsidR="006C5001">
        <w:rPr>
          <w:szCs w:val="28"/>
        </w:rPr>
        <w:t xml:space="preserve"> </w:t>
      </w:r>
      <w:r w:rsidR="00E4650E">
        <w:rPr>
          <w:szCs w:val="28"/>
        </w:rPr>
        <w:t>0503167</w:t>
      </w:r>
      <w:r w:rsidR="00370F9D">
        <w:rPr>
          <w:szCs w:val="28"/>
        </w:rPr>
        <w:t xml:space="preserve"> </w:t>
      </w:r>
      <w:r w:rsidR="006C5001">
        <w:rPr>
          <w:szCs w:val="28"/>
        </w:rPr>
        <w:t>«</w:t>
      </w:r>
      <w:r w:rsidR="00370F9D">
        <w:rPr>
          <w:szCs w:val="28"/>
        </w:rPr>
        <w:t>Сведения о целевых иностранных кредитах</w:t>
      </w:r>
      <w:r w:rsidR="006C5001">
        <w:rPr>
          <w:szCs w:val="28"/>
        </w:rPr>
        <w:t>»</w:t>
      </w:r>
    </w:p>
    <w:p w:rsidR="006447A8" w:rsidRDefault="006447A8" w:rsidP="006447A8">
      <w:pPr>
        <w:spacing w:line="276" w:lineRule="auto"/>
        <w:ind w:firstLine="720"/>
        <w:jc w:val="center"/>
        <w:rPr>
          <w:b/>
          <w:szCs w:val="28"/>
        </w:rPr>
      </w:pPr>
    </w:p>
    <w:sectPr w:rsidR="006447A8" w:rsidSect="00287A48">
      <w:pgSz w:w="11907" w:h="16840" w:code="9"/>
      <w:pgMar w:top="1560" w:right="567"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69" w:rsidRDefault="006C0969">
      <w:r>
        <w:separator/>
      </w:r>
    </w:p>
  </w:endnote>
  <w:endnote w:type="continuationSeparator" w:id="0">
    <w:p w:rsidR="006C0969" w:rsidRDefault="006C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69" w:rsidRDefault="006C0969">
      <w:r>
        <w:separator/>
      </w:r>
    </w:p>
  </w:footnote>
  <w:footnote w:type="continuationSeparator" w:id="0">
    <w:p w:rsidR="006C0969" w:rsidRDefault="006C0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828390"/>
      <w:docPartObj>
        <w:docPartGallery w:val="Page Numbers (Top of Page)"/>
        <w:docPartUnique/>
      </w:docPartObj>
    </w:sdtPr>
    <w:sdtEndPr>
      <w:rPr>
        <w:b w:val="0"/>
        <w:sz w:val="24"/>
        <w:szCs w:val="24"/>
      </w:rPr>
    </w:sdtEndPr>
    <w:sdtContent>
      <w:p w:rsidR="006C0969" w:rsidRPr="00406200" w:rsidRDefault="006C0969">
        <w:pPr>
          <w:pStyle w:val="a3"/>
          <w:rPr>
            <w:b w:val="0"/>
            <w:sz w:val="24"/>
            <w:szCs w:val="24"/>
          </w:rPr>
        </w:pPr>
        <w:r w:rsidRPr="00406200">
          <w:rPr>
            <w:b w:val="0"/>
            <w:sz w:val="24"/>
            <w:szCs w:val="24"/>
          </w:rPr>
          <w:fldChar w:fldCharType="begin"/>
        </w:r>
        <w:r w:rsidRPr="00406200">
          <w:rPr>
            <w:b w:val="0"/>
            <w:sz w:val="24"/>
            <w:szCs w:val="24"/>
          </w:rPr>
          <w:instrText xml:space="preserve"> PAGE   \* MERGEFORMAT </w:instrText>
        </w:r>
        <w:r w:rsidRPr="00406200">
          <w:rPr>
            <w:b w:val="0"/>
            <w:sz w:val="24"/>
            <w:szCs w:val="24"/>
          </w:rPr>
          <w:fldChar w:fldCharType="separate"/>
        </w:r>
        <w:r w:rsidR="006741E9">
          <w:rPr>
            <w:b w:val="0"/>
            <w:noProof/>
            <w:sz w:val="24"/>
            <w:szCs w:val="24"/>
          </w:rPr>
          <w:t>24</w:t>
        </w:r>
        <w:r w:rsidRPr="00406200">
          <w:rPr>
            <w:b w:val="0"/>
            <w:sz w:val="24"/>
            <w:szCs w:val="24"/>
          </w:rPr>
          <w:fldChar w:fldCharType="end"/>
        </w:r>
      </w:p>
    </w:sdtContent>
  </w:sdt>
  <w:p w:rsidR="006C0969" w:rsidRDefault="006C096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A8A1331"/>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974FA4"/>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053925"/>
    <w:multiLevelType w:val="hybridMultilevel"/>
    <w:tmpl w:val="FFFFFFFF"/>
    <w:lvl w:ilvl="0" w:tplc="4EAF0651">
      <w:start w:val="1"/>
      <w:numFmt w:val="bullet"/>
      <w:lvlText w:val="·"/>
      <w:lvlJc w:val="left"/>
      <w:pPr>
        <w:ind w:left="720" w:hanging="360"/>
      </w:pPr>
      <w:rPr>
        <w:rFonts w:ascii="Symbol" w:hAnsi="Symbol" w:cs="Symbol"/>
      </w:rPr>
    </w:lvl>
    <w:lvl w:ilvl="1" w:tplc="519E2396">
      <w:start w:val="1"/>
      <w:numFmt w:val="bullet"/>
      <w:lvlText w:val="o"/>
      <w:lvlJc w:val="left"/>
      <w:pPr>
        <w:ind w:left="1440" w:hanging="360"/>
      </w:pPr>
      <w:rPr>
        <w:rFonts w:ascii="Symbol" w:hAnsi="Symbol" w:cs="Symbol"/>
      </w:rPr>
    </w:lvl>
    <w:lvl w:ilvl="2" w:tplc="43C3FDE7">
      <w:start w:val="1"/>
      <w:numFmt w:val="bullet"/>
      <w:lvlText w:val="·"/>
      <w:lvlJc w:val="left"/>
      <w:pPr>
        <w:ind w:left="2160" w:hanging="360"/>
      </w:pPr>
      <w:rPr>
        <w:rFonts w:ascii="Symbol" w:hAnsi="Symbol" w:cs="Symbol"/>
      </w:rPr>
    </w:lvl>
    <w:lvl w:ilvl="3" w:tplc="0818F4F6">
      <w:start w:val="1"/>
      <w:numFmt w:val="bullet"/>
      <w:lvlText w:val="o"/>
      <w:lvlJc w:val="left"/>
      <w:pPr>
        <w:ind w:left="2880" w:hanging="360"/>
      </w:pPr>
      <w:rPr>
        <w:rFonts w:ascii="Symbol" w:hAnsi="Symbol" w:cs="Symbol"/>
      </w:rPr>
    </w:lvl>
    <w:lvl w:ilvl="4" w:tplc="60AAA5B0">
      <w:start w:val="1"/>
      <w:numFmt w:val="bullet"/>
      <w:lvlText w:val="·"/>
      <w:lvlJc w:val="left"/>
      <w:pPr>
        <w:ind w:left="3600" w:hanging="360"/>
      </w:pPr>
      <w:rPr>
        <w:rFonts w:ascii="Symbol" w:hAnsi="Symbol" w:cs="Symbol"/>
      </w:rPr>
    </w:lvl>
    <w:lvl w:ilvl="5" w:tplc="55E3859D">
      <w:start w:val="1"/>
      <w:numFmt w:val="bullet"/>
      <w:lvlText w:val="o"/>
      <w:lvlJc w:val="left"/>
      <w:pPr>
        <w:ind w:left="4320" w:hanging="360"/>
      </w:pPr>
      <w:rPr>
        <w:rFonts w:ascii="Symbol" w:hAnsi="Symbol" w:cs="Symbol"/>
      </w:rPr>
    </w:lvl>
    <w:lvl w:ilvl="6" w:tplc="781DFD44">
      <w:start w:val="1"/>
      <w:numFmt w:val="bullet"/>
      <w:lvlText w:val="·"/>
      <w:lvlJc w:val="left"/>
      <w:pPr>
        <w:ind w:left="5040" w:hanging="360"/>
      </w:pPr>
      <w:rPr>
        <w:rFonts w:ascii="Symbol" w:hAnsi="Symbol" w:cs="Symbol"/>
      </w:rPr>
    </w:lvl>
    <w:lvl w:ilvl="7" w:tplc="459AC18D">
      <w:start w:val="1"/>
      <w:numFmt w:val="bullet"/>
      <w:lvlText w:val="o"/>
      <w:lvlJc w:val="left"/>
      <w:pPr>
        <w:ind w:left="5760" w:hanging="360"/>
      </w:pPr>
      <w:rPr>
        <w:rFonts w:ascii="Symbol" w:hAnsi="Symbol" w:cs="Symbol"/>
      </w:rPr>
    </w:lvl>
    <w:lvl w:ilvl="8" w:tplc="14D44859">
      <w:start w:val="1"/>
      <w:numFmt w:val="bullet"/>
      <w:lvlText w:val="·"/>
      <w:lvlJc w:val="left"/>
      <w:pPr>
        <w:ind w:left="6480" w:hanging="360"/>
      </w:pPr>
      <w:rPr>
        <w:rFonts w:ascii="Symbol" w:hAnsi="Symbol" w:cs="Symbol"/>
      </w:rPr>
    </w:lvl>
  </w:abstractNum>
  <w:num w:numId="1">
    <w:abstractNumId w:val="2"/>
  </w:num>
  <w:num w:numId="2">
    <w:abstractNumId w:val="3"/>
  </w:num>
  <w:num w:numId="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B9"/>
    <w:rsid w:val="000005BE"/>
    <w:rsid w:val="00005E8E"/>
    <w:rsid w:val="00006732"/>
    <w:rsid w:val="000121B7"/>
    <w:rsid w:val="00012705"/>
    <w:rsid w:val="00012D87"/>
    <w:rsid w:val="00013349"/>
    <w:rsid w:val="00013DBA"/>
    <w:rsid w:val="000204CE"/>
    <w:rsid w:val="000221C4"/>
    <w:rsid w:val="000228B2"/>
    <w:rsid w:val="00022AE9"/>
    <w:rsid w:val="00023018"/>
    <w:rsid w:val="00025F22"/>
    <w:rsid w:val="00032E28"/>
    <w:rsid w:val="00034305"/>
    <w:rsid w:val="000349BB"/>
    <w:rsid w:val="000349EF"/>
    <w:rsid w:val="00034DC6"/>
    <w:rsid w:val="000375B1"/>
    <w:rsid w:val="0004158B"/>
    <w:rsid w:val="0004242A"/>
    <w:rsid w:val="00043073"/>
    <w:rsid w:val="0005012F"/>
    <w:rsid w:val="00053BF2"/>
    <w:rsid w:val="00054164"/>
    <w:rsid w:val="00055C6F"/>
    <w:rsid w:val="00056B3C"/>
    <w:rsid w:val="00057600"/>
    <w:rsid w:val="0006034E"/>
    <w:rsid w:val="00060B8C"/>
    <w:rsid w:val="00061A3A"/>
    <w:rsid w:val="000644D8"/>
    <w:rsid w:val="00064AF0"/>
    <w:rsid w:val="0006552F"/>
    <w:rsid w:val="00066F47"/>
    <w:rsid w:val="000706D7"/>
    <w:rsid w:val="000714F4"/>
    <w:rsid w:val="0007180F"/>
    <w:rsid w:val="00071823"/>
    <w:rsid w:val="00071B49"/>
    <w:rsid w:val="00071F3E"/>
    <w:rsid w:val="000737FB"/>
    <w:rsid w:val="000740BC"/>
    <w:rsid w:val="0007544F"/>
    <w:rsid w:val="000757B0"/>
    <w:rsid w:val="00075943"/>
    <w:rsid w:val="00076717"/>
    <w:rsid w:val="000774BA"/>
    <w:rsid w:val="00080502"/>
    <w:rsid w:val="00082688"/>
    <w:rsid w:val="0008527F"/>
    <w:rsid w:val="00085617"/>
    <w:rsid w:val="0008573D"/>
    <w:rsid w:val="0008587E"/>
    <w:rsid w:val="000870E0"/>
    <w:rsid w:val="00087C93"/>
    <w:rsid w:val="00092C88"/>
    <w:rsid w:val="00093820"/>
    <w:rsid w:val="0009445E"/>
    <w:rsid w:val="00096E75"/>
    <w:rsid w:val="000A1E9B"/>
    <w:rsid w:val="000A2675"/>
    <w:rsid w:val="000A309F"/>
    <w:rsid w:val="000A3F4F"/>
    <w:rsid w:val="000A4D7F"/>
    <w:rsid w:val="000A5059"/>
    <w:rsid w:val="000A65B5"/>
    <w:rsid w:val="000A6783"/>
    <w:rsid w:val="000A6931"/>
    <w:rsid w:val="000A7430"/>
    <w:rsid w:val="000B0B07"/>
    <w:rsid w:val="000B23FC"/>
    <w:rsid w:val="000B64EC"/>
    <w:rsid w:val="000C222F"/>
    <w:rsid w:val="000C2725"/>
    <w:rsid w:val="000C5538"/>
    <w:rsid w:val="000D16F3"/>
    <w:rsid w:val="000D1D40"/>
    <w:rsid w:val="000D3326"/>
    <w:rsid w:val="000D336D"/>
    <w:rsid w:val="000D41DC"/>
    <w:rsid w:val="000D4462"/>
    <w:rsid w:val="000D4F2F"/>
    <w:rsid w:val="000D6C77"/>
    <w:rsid w:val="000D775E"/>
    <w:rsid w:val="000D7912"/>
    <w:rsid w:val="000D794D"/>
    <w:rsid w:val="000E0252"/>
    <w:rsid w:val="000E16C9"/>
    <w:rsid w:val="000E2233"/>
    <w:rsid w:val="000E34A5"/>
    <w:rsid w:val="000E37DE"/>
    <w:rsid w:val="000E3C75"/>
    <w:rsid w:val="000E408C"/>
    <w:rsid w:val="000E4313"/>
    <w:rsid w:val="000E755A"/>
    <w:rsid w:val="000F04D2"/>
    <w:rsid w:val="000F4AF2"/>
    <w:rsid w:val="000F5D63"/>
    <w:rsid w:val="00102979"/>
    <w:rsid w:val="001102F9"/>
    <w:rsid w:val="00111B58"/>
    <w:rsid w:val="0011379A"/>
    <w:rsid w:val="0011409F"/>
    <w:rsid w:val="00116968"/>
    <w:rsid w:val="00122611"/>
    <w:rsid w:val="00127252"/>
    <w:rsid w:val="001272F9"/>
    <w:rsid w:val="001311D5"/>
    <w:rsid w:val="001317B8"/>
    <w:rsid w:val="00133A64"/>
    <w:rsid w:val="00133D85"/>
    <w:rsid w:val="00135FDD"/>
    <w:rsid w:val="00136BED"/>
    <w:rsid w:val="00137678"/>
    <w:rsid w:val="001401BC"/>
    <w:rsid w:val="001472E1"/>
    <w:rsid w:val="00147836"/>
    <w:rsid w:val="0014798E"/>
    <w:rsid w:val="00147B7D"/>
    <w:rsid w:val="001503C1"/>
    <w:rsid w:val="00152B49"/>
    <w:rsid w:val="00154894"/>
    <w:rsid w:val="001562B2"/>
    <w:rsid w:val="00156863"/>
    <w:rsid w:val="00156954"/>
    <w:rsid w:val="00160BF5"/>
    <w:rsid w:val="00161034"/>
    <w:rsid w:val="00162B18"/>
    <w:rsid w:val="00163561"/>
    <w:rsid w:val="00163A18"/>
    <w:rsid w:val="00163AAA"/>
    <w:rsid w:val="00163CC8"/>
    <w:rsid w:val="00164A39"/>
    <w:rsid w:val="00166ECD"/>
    <w:rsid w:val="00170580"/>
    <w:rsid w:val="00171904"/>
    <w:rsid w:val="0017227D"/>
    <w:rsid w:val="0017421A"/>
    <w:rsid w:val="0017548E"/>
    <w:rsid w:val="001804A2"/>
    <w:rsid w:val="00180740"/>
    <w:rsid w:val="0018091C"/>
    <w:rsid w:val="00182DB6"/>
    <w:rsid w:val="00182EFE"/>
    <w:rsid w:val="00183341"/>
    <w:rsid w:val="0018365C"/>
    <w:rsid w:val="00185194"/>
    <w:rsid w:val="001864DE"/>
    <w:rsid w:val="00186FF0"/>
    <w:rsid w:val="001875C5"/>
    <w:rsid w:val="001941C9"/>
    <w:rsid w:val="00194A73"/>
    <w:rsid w:val="001950FB"/>
    <w:rsid w:val="00196ED2"/>
    <w:rsid w:val="0019726A"/>
    <w:rsid w:val="001A0B0B"/>
    <w:rsid w:val="001A3CEA"/>
    <w:rsid w:val="001A56A3"/>
    <w:rsid w:val="001A684C"/>
    <w:rsid w:val="001A6BF3"/>
    <w:rsid w:val="001A7643"/>
    <w:rsid w:val="001A7940"/>
    <w:rsid w:val="001B0D4E"/>
    <w:rsid w:val="001B1B46"/>
    <w:rsid w:val="001B3157"/>
    <w:rsid w:val="001B6BF4"/>
    <w:rsid w:val="001C4F00"/>
    <w:rsid w:val="001C610D"/>
    <w:rsid w:val="001C622A"/>
    <w:rsid w:val="001C70EE"/>
    <w:rsid w:val="001C7C1F"/>
    <w:rsid w:val="001C7F29"/>
    <w:rsid w:val="001D3DAE"/>
    <w:rsid w:val="001E30FB"/>
    <w:rsid w:val="001E3700"/>
    <w:rsid w:val="001E3E24"/>
    <w:rsid w:val="001E48FD"/>
    <w:rsid w:val="001E4F4D"/>
    <w:rsid w:val="001E664E"/>
    <w:rsid w:val="001E6E0A"/>
    <w:rsid w:val="001F26BB"/>
    <w:rsid w:val="001F28C6"/>
    <w:rsid w:val="001F4CD6"/>
    <w:rsid w:val="001F6982"/>
    <w:rsid w:val="001F6D45"/>
    <w:rsid w:val="001F6D9E"/>
    <w:rsid w:val="00202710"/>
    <w:rsid w:val="00202968"/>
    <w:rsid w:val="00205F28"/>
    <w:rsid w:val="00207A47"/>
    <w:rsid w:val="00212D16"/>
    <w:rsid w:val="00213DED"/>
    <w:rsid w:val="00214632"/>
    <w:rsid w:val="00215035"/>
    <w:rsid w:val="002155EB"/>
    <w:rsid w:val="002158ED"/>
    <w:rsid w:val="00217444"/>
    <w:rsid w:val="00222770"/>
    <w:rsid w:val="002229CA"/>
    <w:rsid w:val="002248F8"/>
    <w:rsid w:val="00224E5F"/>
    <w:rsid w:val="0022703B"/>
    <w:rsid w:val="00227862"/>
    <w:rsid w:val="00227FF2"/>
    <w:rsid w:val="00232998"/>
    <w:rsid w:val="00233477"/>
    <w:rsid w:val="002347C2"/>
    <w:rsid w:val="0023700B"/>
    <w:rsid w:val="002377D9"/>
    <w:rsid w:val="0024259C"/>
    <w:rsid w:val="00243BF6"/>
    <w:rsid w:val="00243ECF"/>
    <w:rsid w:val="00244A95"/>
    <w:rsid w:val="00247C02"/>
    <w:rsid w:val="002528BF"/>
    <w:rsid w:val="00254D6D"/>
    <w:rsid w:val="0025511B"/>
    <w:rsid w:val="00255EFF"/>
    <w:rsid w:val="00255FD2"/>
    <w:rsid w:val="00256C5D"/>
    <w:rsid w:val="00262548"/>
    <w:rsid w:val="002627F7"/>
    <w:rsid w:val="00263ED0"/>
    <w:rsid w:val="00263F4E"/>
    <w:rsid w:val="00264298"/>
    <w:rsid w:val="00266AD7"/>
    <w:rsid w:val="00266D20"/>
    <w:rsid w:val="00267C5D"/>
    <w:rsid w:val="002709F4"/>
    <w:rsid w:val="00272A0E"/>
    <w:rsid w:val="00272B9F"/>
    <w:rsid w:val="00280328"/>
    <w:rsid w:val="002830C3"/>
    <w:rsid w:val="0028390B"/>
    <w:rsid w:val="00286821"/>
    <w:rsid w:val="00287A48"/>
    <w:rsid w:val="00290AA5"/>
    <w:rsid w:val="0029102A"/>
    <w:rsid w:val="00294BC4"/>
    <w:rsid w:val="002967D5"/>
    <w:rsid w:val="002969B6"/>
    <w:rsid w:val="00297257"/>
    <w:rsid w:val="002A07ED"/>
    <w:rsid w:val="002A4203"/>
    <w:rsid w:val="002A76DC"/>
    <w:rsid w:val="002B10F6"/>
    <w:rsid w:val="002B27C2"/>
    <w:rsid w:val="002B2955"/>
    <w:rsid w:val="002B42C1"/>
    <w:rsid w:val="002B541F"/>
    <w:rsid w:val="002B75A1"/>
    <w:rsid w:val="002C08DB"/>
    <w:rsid w:val="002C32AA"/>
    <w:rsid w:val="002C765C"/>
    <w:rsid w:val="002C7E68"/>
    <w:rsid w:val="002D00C2"/>
    <w:rsid w:val="002D0645"/>
    <w:rsid w:val="002D1169"/>
    <w:rsid w:val="002D163E"/>
    <w:rsid w:val="002D25CC"/>
    <w:rsid w:val="002D3039"/>
    <w:rsid w:val="002D52E5"/>
    <w:rsid w:val="002D5583"/>
    <w:rsid w:val="002D5BCF"/>
    <w:rsid w:val="002E0CCB"/>
    <w:rsid w:val="002E1808"/>
    <w:rsid w:val="002E374A"/>
    <w:rsid w:val="002E4D62"/>
    <w:rsid w:val="002E649E"/>
    <w:rsid w:val="002E73EB"/>
    <w:rsid w:val="002F0703"/>
    <w:rsid w:val="002F2C0D"/>
    <w:rsid w:val="002F3A2B"/>
    <w:rsid w:val="002F7757"/>
    <w:rsid w:val="002F7A4C"/>
    <w:rsid w:val="00304F35"/>
    <w:rsid w:val="00304FCB"/>
    <w:rsid w:val="00306766"/>
    <w:rsid w:val="003076A4"/>
    <w:rsid w:val="003102D6"/>
    <w:rsid w:val="00310870"/>
    <w:rsid w:val="00311210"/>
    <w:rsid w:val="003118A2"/>
    <w:rsid w:val="00313A40"/>
    <w:rsid w:val="00315777"/>
    <w:rsid w:val="0032046E"/>
    <w:rsid w:val="00320B32"/>
    <w:rsid w:val="00320F5B"/>
    <w:rsid w:val="00321BEE"/>
    <w:rsid w:val="003229B6"/>
    <w:rsid w:val="003242B8"/>
    <w:rsid w:val="00332BC5"/>
    <w:rsid w:val="0033420B"/>
    <w:rsid w:val="0033465C"/>
    <w:rsid w:val="0033477A"/>
    <w:rsid w:val="00335BB9"/>
    <w:rsid w:val="003366E7"/>
    <w:rsid w:val="00336813"/>
    <w:rsid w:val="00337004"/>
    <w:rsid w:val="00337707"/>
    <w:rsid w:val="00341923"/>
    <w:rsid w:val="003423EA"/>
    <w:rsid w:val="00342E2C"/>
    <w:rsid w:val="003433BE"/>
    <w:rsid w:val="003455FD"/>
    <w:rsid w:val="00346B58"/>
    <w:rsid w:val="00346D4D"/>
    <w:rsid w:val="00346EEC"/>
    <w:rsid w:val="0035394B"/>
    <w:rsid w:val="00353B20"/>
    <w:rsid w:val="0035403F"/>
    <w:rsid w:val="0035640F"/>
    <w:rsid w:val="00356E76"/>
    <w:rsid w:val="00360BAF"/>
    <w:rsid w:val="00363621"/>
    <w:rsid w:val="00363C7E"/>
    <w:rsid w:val="00364C41"/>
    <w:rsid w:val="00370BBF"/>
    <w:rsid w:val="00370F9D"/>
    <w:rsid w:val="00372F2A"/>
    <w:rsid w:val="00374107"/>
    <w:rsid w:val="00375CDC"/>
    <w:rsid w:val="00376229"/>
    <w:rsid w:val="003776F1"/>
    <w:rsid w:val="003779DA"/>
    <w:rsid w:val="00380C2E"/>
    <w:rsid w:val="00380EFA"/>
    <w:rsid w:val="003812DF"/>
    <w:rsid w:val="00381517"/>
    <w:rsid w:val="0038196E"/>
    <w:rsid w:val="00381D2D"/>
    <w:rsid w:val="0038205F"/>
    <w:rsid w:val="003856DD"/>
    <w:rsid w:val="0039063B"/>
    <w:rsid w:val="0039156A"/>
    <w:rsid w:val="00391D82"/>
    <w:rsid w:val="00392E2C"/>
    <w:rsid w:val="00394155"/>
    <w:rsid w:val="00394828"/>
    <w:rsid w:val="0039496C"/>
    <w:rsid w:val="003964EA"/>
    <w:rsid w:val="003A1B98"/>
    <w:rsid w:val="003A3637"/>
    <w:rsid w:val="003A5AEF"/>
    <w:rsid w:val="003A5C06"/>
    <w:rsid w:val="003A60C0"/>
    <w:rsid w:val="003A6404"/>
    <w:rsid w:val="003A650F"/>
    <w:rsid w:val="003A745E"/>
    <w:rsid w:val="003A79C7"/>
    <w:rsid w:val="003B332A"/>
    <w:rsid w:val="003B3416"/>
    <w:rsid w:val="003B60A3"/>
    <w:rsid w:val="003C08AC"/>
    <w:rsid w:val="003C1A4F"/>
    <w:rsid w:val="003C371F"/>
    <w:rsid w:val="003C39B1"/>
    <w:rsid w:val="003C4C25"/>
    <w:rsid w:val="003C6C7B"/>
    <w:rsid w:val="003C7804"/>
    <w:rsid w:val="003D2E86"/>
    <w:rsid w:val="003D5207"/>
    <w:rsid w:val="003D5DD1"/>
    <w:rsid w:val="003E237D"/>
    <w:rsid w:val="003E3602"/>
    <w:rsid w:val="003E4727"/>
    <w:rsid w:val="003E7DD1"/>
    <w:rsid w:val="003F220F"/>
    <w:rsid w:val="003F421F"/>
    <w:rsid w:val="003F50CA"/>
    <w:rsid w:val="004049A0"/>
    <w:rsid w:val="00405563"/>
    <w:rsid w:val="004059E2"/>
    <w:rsid w:val="00406200"/>
    <w:rsid w:val="0041013F"/>
    <w:rsid w:val="004104A2"/>
    <w:rsid w:val="00410E9F"/>
    <w:rsid w:val="00413049"/>
    <w:rsid w:val="00413F6A"/>
    <w:rsid w:val="004152C3"/>
    <w:rsid w:val="00416ED4"/>
    <w:rsid w:val="00416F2B"/>
    <w:rsid w:val="00416F3D"/>
    <w:rsid w:val="004224B1"/>
    <w:rsid w:val="004232FB"/>
    <w:rsid w:val="0042370C"/>
    <w:rsid w:val="00423DC1"/>
    <w:rsid w:val="004250D4"/>
    <w:rsid w:val="00426150"/>
    <w:rsid w:val="00441DEA"/>
    <w:rsid w:val="004420A2"/>
    <w:rsid w:val="004461CF"/>
    <w:rsid w:val="00447392"/>
    <w:rsid w:val="00450AEF"/>
    <w:rsid w:val="0045285F"/>
    <w:rsid w:val="00453ADB"/>
    <w:rsid w:val="0045449A"/>
    <w:rsid w:val="00454D00"/>
    <w:rsid w:val="00455BD4"/>
    <w:rsid w:val="00461DC4"/>
    <w:rsid w:val="00462239"/>
    <w:rsid w:val="00470152"/>
    <w:rsid w:val="004773CB"/>
    <w:rsid w:val="004803CE"/>
    <w:rsid w:val="00490A6E"/>
    <w:rsid w:val="0049380C"/>
    <w:rsid w:val="004959F5"/>
    <w:rsid w:val="00495B8A"/>
    <w:rsid w:val="004A2361"/>
    <w:rsid w:val="004A5930"/>
    <w:rsid w:val="004A712E"/>
    <w:rsid w:val="004A7602"/>
    <w:rsid w:val="004A76F7"/>
    <w:rsid w:val="004B26B3"/>
    <w:rsid w:val="004C0C49"/>
    <w:rsid w:val="004C15AD"/>
    <w:rsid w:val="004C2B19"/>
    <w:rsid w:val="004C5F7E"/>
    <w:rsid w:val="004C727C"/>
    <w:rsid w:val="004C7620"/>
    <w:rsid w:val="004C79F0"/>
    <w:rsid w:val="004D19E3"/>
    <w:rsid w:val="004D5053"/>
    <w:rsid w:val="004D5290"/>
    <w:rsid w:val="004D65E1"/>
    <w:rsid w:val="004E13E1"/>
    <w:rsid w:val="004E1A04"/>
    <w:rsid w:val="004E5747"/>
    <w:rsid w:val="004E5C02"/>
    <w:rsid w:val="004E680A"/>
    <w:rsid w:val="004E7103"/>
    <w:rsid w:val="004F069D"/>
    <w:rsid w:val="004F12CF"/>
    <w:rsid w:val="004F7E6E"/>
    <w:rsid w:val="00500412"/>
    <w:rsid w:val="0050086C"/>
    <w:rsid w:val="00500B12"/>
    <w:rsid w:val="00501524"/>
    <w:rsid w:val="0050371B"/>
    <w:rsid w:val="0050455B"/>
    <w:rsid w:val="0050588E"/>
    <w:rsid w:val="00505B58"/>
    <w:rsid w:val="00511244"/>
    <w:rsid w:val="005113D4"/>
    <w:rsid w:val="005147CE"/>
    <w:rsid w:val="00517587"/>
    <w:rsid w:val="00517CF2"/>
    <w:rsid w:val="0052283D"/>
    <w:rsid w:val="00526156"/>
    <w:rsid w:val="00526192"/>
    <w:rsid w:val="00527123"/>
    <w:rsid w:val="00530A0F"/>
    <w:rsid w:val="00530C29"/>
    <w:rsid w:val="00531D10"/>
    <w:rsid w:val="00534865"/>
    <w:rsid w:val="0053663D"/>
    <w:rsid w:val="00536A9A"/>
    <w:rsid w:val="00537FAF"/>
    <w:rsid w:val="00540594"/>
    <w:rsid w:val="00540DA1"/>
    <w:rsid w:val="00541C3C"/>
    <w:rsid w:val="00543C59"/>
    <w:rsid w:val="00544739"/>
    <w:rsid w:val="0054663A"/>
    <w:rsid w:val="0054762D"/>
    <w:rsid w:val="0055305E"/>
    <w:rsid w:val="00553E46"/>
    <w:rsid w:val="00554262"/>
    <w:rsid w:val="00554A16"/>
    <w:rsid w:val="00555599"/>
    <w:rsid w:val="00556DD3"/>
    <w:rsid w:val="0056018B"/>
    <w:rsid w:val="00560566"/>
    <w:rsid w:val="00561B9D"/>
    <w:rsid w:val="00562601"/>
    <w:rsid w:val="005626CE"/>
    <w:rsid w:val="0057004E"/>
    <w:rsid w:val="00570564"/>
    <w:rsid w:val="00570655"/>
    <w:rsid w:val="00571170"/>
    <w:rsid w:val="0057450B"/>
    <w:rsid w:val="005747B0"/>
    <w:rsid w:val="00577FFC"/>
    <w:rsid w:val="00587A57"/>
    <w:rsid w:val="00591C57"/>
    <w:rsid w:val="00592D0A"/>
    <w:rsid w:val="00593554"/>
    <w:rsid w:val="00595956"/>
    <w:rsid w:val="00595B54"/>
    <w:rsid w:val="005A0D34"/>
    <w:rsid w:val="005A1069"/>
    <w:rsid w:val="005A10F6"/>
    <w:rsid w:val="005A140B"/>
    <w:rsid w:val="005A2682"/>
    <w:rsid w:val="005A26E9"/>
    <w:rsid w:val="005A7363"/>
    <w:rsid w:val="005A7438"/>
    <w:rsid w:val="005A74C8"/>
    <w:rsid w:val="005A7A66"/>
    <w:rsid w:val="005A7CA9"/>
    <w:rsid w:val="005B0C88"/>
    <w:rsid w:val="005B13D8"/>
    <w:rsid w:val="005B2D94"/>
    <w:rsid w:val="005B5C5A"/>
    <w:rsid w:val="005B5D71"/>
    <w:rsid w:val="005B6D03"/>
    <w:rsid w:val="005C0671"/>
    <w:rsid w:val="005C3354"/>
    <w:rsid w:val="005C45BC"/>
    <w:rsid w:val="005C4C71"/>
    <w:rsid w:val="005C507F"/>
    <w:rsid w:val="005C5858"/>
    <w:rsid w:val="005C6250"/>
    <w:rsid w:val="005C7039"/>
    <w:rsid w:val="005D166F"/>
    <w:rsid w:val="005D37A4"/>
    <w:rsid w:val="005D4B1E"/>
    <w:rsid w:val="005E05EA"/>
    <w:rsid w:val="005E1620"/>
    <w:rsid w:val="005E1A39"/>
    <w:rsid w:val="005E3C5B"/>
    <w:rsid w:val="005E4352"/>
    <w:rsid w:val="005E4F96"/>
    <w:rsid w:val="005E7255"/>
    <w:rsid w:val="005E7EE7"/>
    <w:rsid w:val="005F033A"/>
    <w:rsid w:val="005F284E"/>
    <w:rsid w:val="005F32E9"/>
    <w:rsid w:val="005F4A37"/>
    <w:rsid w:val="005F4BE1"/>
    <w:rsid w:val="005F5386"/>
    <w:rsid w:val="00600FCC"/>
    <w:rsid w:val="00601ABA"/>
    <w:rsid w:val="00601E00"/>
    <w:rsid w:val="00601E1C"/>
    <w:rsid w:val="00602121"/>
    <w:rsid w:val="00602487"/>
    <w:rsid w:val="00602858"/>
    <w:rsid w:val="00603FB5"/>
    <w:rsid w:val="00604E6F"/>
    <w:rsid w:val="0060519E"/>
    <w:rsid w:val="00605906"/>
    <w:rsid w:val="00610C53"/>
    <w:rsid w:val="006111B8"/>
    <w:rsid w:val="00613E49"/>
    <w:rsid w:val="00613F92"/>
    <w:rsid w:val="006149ED"/>
    <w:rsid w:val="0061677F"/>
    <w:rsid w:val="00616E09"/>
    <w:rsid w:val="00616EB9"/>
    <w:rsid w:val="006178BC"/>
    <w:rsid w:val="006206DA"/>
    <w:rsid w:val="00626846"/>
    <w:rsid w:val="00627398"/>
    <w:rsid w:val="00630268"/>
    <w:rsid w:val="00630FB4"/>
    <w:rsid w:val="00636555"/>
    <w:rsid w:val="00636573"/>
    <w:rsid w:val="00640019"/>
    <w:rsid w:val="0064186F"/>
    <w:rsid w:val="00642426"/>
    <w:rsid w:val="006428FF"/>
    <w:rsid w:val="006447A8"/>
    <w:rsid w:val="006449AD"/>
    <w:rsid w:val="006501E8"/>
    <w:rsid w:val="00652116"/>
    <w:rsid w:val="00656624"/>
    <w:rsid w:val="00656D81"/>
    <w:rsid w:val="00657E18"/>
    <w:rsid w:val="00662D58"/>
    <w:rsid w:val="00664392"/>
    <w:rsid w:val="00665878"/>
    <w:rsid w:val="00666A07"/>
    <w:rsid w:val="006706D0"/>
    <w:rsid w:val="00670E68"/>
    <w:rsid w:val="006741E9"/>
    <w:rsid w:val="0067423A"/>
    <w:rsid w:val="0067640C"/>
    <w:rsid w:val="006771B9"/>
    <w:rsid w:val="00680DDC"/>
    <w:rsid w:val="006835CF"/>
    <w:rsid w:val="00685079"/>
    <w:rsid w:val="006850BB"/>
    <w:rsid w:val="006901A4"/>
    <w:rsid w:val="00690521"/>
    <w:rsid w:val="006906D9"/>
    <w:rsid w:val="00690C3B"/>
    <w:rsid w:val="00694951"/>
    <w:rsid w:val="00696964"/>
    <w:rsid w:val="00696FFF"/>
    <w:rsid w:val="006A21F7"/>
    <w:rsid w:val="006A601E"/>
    <w:rsid w:val="006B19DB"/>
    <w:rsid w:val="006B1EA1"/>
    <w:rsid w:val="006B3777"/>
    <w:rsid w:val="006B5341"/>
    <w:rsid w:val="006B561F"/>
    <w:rsid w:val="006B567F"/>
    <w:rsid w:val="006B65FF"/>
    <w:rsid w:val="006B660C"/>
    <w:rsid w:val="006C0601"/>
    <w:rsid w:val="006C0969"/>
    <w:rsid w:val="006C1813"/>
    <w:rsid w:val="006C44CA"/>
    <w:rsid w:val="006C4E38"/>
    <w:rsid w:val="006C5001"/>
    <w:rsid w:val="006C635B"/>
    <w:rsid w:val="006C7B2C"/>
    <w:rsid w:val="006D228C"/>
    <w:rsid w:val="006D7F52"/>
    <w:rsid w:val="006E055B"/>
    <w:rsid w:val="006E1CAE"/>
    <w:rsid w:val="006E2317"/>
    <w:rsid w:val="006E5B09"/>
    <w:rsid w:val="006F2E57"/>
    <w:rsid w:val="006F2F71"/>
    <w:rsid w:val="006F3BD8"/>
    <w:rsid w:val="006F3F74"/>
    <w:rsid w:val="006F41AF"/>
    <w:rsid w:val="006F41D7"/>
    <w:rsid w:val="006F461F"/>
    <w:rsid w:val="006F4CDF"/>
    <w:rsid w:val="006F5D75"/>
    <w:rsid w:val="00700530"/>
    <w:rsid w:val="00703B36"/>
    <w:rsid w:val="0070479C"/>
    <w:rsid w:val="007065DD"/>
    <w:rsid w:val="007069A4"/>
    <w:rsid w:val="00707A86"/>
    <w:rsid w:val="007108DC"/>
    <w:rsid w:val="00712626"/>
    <w:rsid w:val="00713E26"/>
    <w:rsid w:val="007146A3"/>
    <w:rsid w:val="007160A3"/>
    <w:rsid w:val="00716876"/>
    <w:rsid w:val="00720D58"/>
    <w:rsid w:val="0072339B"/>
    <w:rsid w:val="0072414D"/>
    <w:rsid w:val="007253BC"/>
    <w:rsid w:val="00725F9A"/>
    <w:rsid w:val="00733113"/>
    <w:rsid w:val="00734786"/>
    <w:rsid w:val="007371EB"/>
    <w:rsid w:val="007377BC"/>
    <w:rsid w:val="00741E78"/>
    <w:rsid w:val="00744E34"/>
    <w:rsid w:val="0074667F"/>
    <w:rsid w:val="00747000"/>
    <w:rsid w:val="007511E0"/>
    <w:rsid w:val="00751C6A"/>
    <w:rsid w:val="00754042"/>
    <w:rsid w:val="007549BF"/>
    <w:rsid w:val="007559E4"/>
    <w:rsid w:val="00757F42"/>
    <w:rsid w:val="00762E9C"/>
    <w:rsid w:val="007644A5"/>
    <w:rsid w:val="00764C30"/>
    <w:rsid w:val="00764DAB"/>
    <w:rsid w:val="00766418"/>
    <w:rsid w:val="0077077D"/>
    <w:rsid w:val="00770F2A"/>
    <w:rsid w:val="007717EE"/>
    <w:rsid w:val="00771E36"/>
    <w:rsid w:val="007736E5"/>
    <w:rsid w:val="007761A5"/>
    <w:rsid w:val="00783BE1"/>
    <w:rsid w:val="007864DC"/>
    <w:rsid w:val="00793322"/>
    <w:rsid w:val="007954E6"/>
    <w:rsid w:val="00795AFD"/>
    <w:rsid w:val="00796F4E"/>
    <w:rsid w:val="007A2A33"/>
    <w:rsid w:val="007A2CB9"/>
    <w:rsid w:val="007A518F"/>
    <w:rsid w:val="007A722D"/>
    <w:rsid w:val="007A79AA"/>
    <w:rsid w:val="007B2AB5"/>
    <w:rsid w:val="007B2D13"/>
    <w:rsid w:val="007B356F"/>
    <w:rsid w:val="007B6C4A"/>
    <w:rsid w:val="007B7554"/>
    <w:rsid w:val="007B7AB6"/>
    <w:rsid w:val="007C370C"/>
    <w:rsid w:val="007C4077"/>
    <w:rsid w:val="007C60FD"/>
    <w:rsid w:val="007C72D8"/>
    <w:rsid w:val="007D1545"/>
    <w:rsid w:val="007D2808"/>
    <w:rsid w:val="007D3A0D"/>
    <w:rsid w:val="007D5435"/>
    <w:rsid w:val="007D5839"/>
    <w:rsid w:val="007D62DE"/>
    <w:rsid w:val="007D7E98"/>
    <w:rsid w:val="007E247A"/>
    <w:rsid w:val="007E2794"/>
    <w:rsid w:val="007E349F"/>
    <w:rsid w:val="007E5887"/>
    <w:rsid w:val="007F09E3"/>
    <w:rsid w:val="007F319E"/>
    <w:rsid w:val="007F48E0"/>
    <w:rsid w:val="007F78E6"/>
    <w:rsid w:val="007F7E5A"/>
    <w:rsid w:val="007F7E60"/>
    <w:rsid w:val="008037D3"/>
    <w:rsid w:val="00803ACF"/>
    <w:rsid w:val="008044F2"/>
    <w:rsid w:val="0080465E"/>
    <w:rsid w:val="00806ED1"/>
    <w:rsid w:val="00807027"/>
    <w:rsid w:val="00810701"/>
    <w:rsid w:val="00814789"/>
    <w:rsid w:val="00815BAA"/>
    <w:rsid w:val="00815F6F"/>
    <w:rsid w:val="00816758"/>
    <w:rsid w:val="00816C2B"/>
    <w:rsid w:val="00817008"/>
    <w:rsid w:val="00820D90"/>
    <w:rsid w:val="00821081"/>
    <w:rsid w:val="00821F83"/>
    <w:rsid w:val="00825024"/>
    <w:rsid w:val="00825B32"/>
    <w:rsid w:val="00825E69"/>
    <w:rsid w:val="008271F5"/>
    <w:rsid w:val="00830C2E"/>
    <w:rsid w:val="008313A1"/>
    <w:rsid w:val="008326B4"/>
    <w:rsid w:val="00833097"/>
    <w:rsid w:val="00833AEB"/>
    <w:rsid w:val="00833FF0"/>
    <w:rsid w:val="00834094"/>
    <w:rsid w:val="00834897"/>
    <w:rsid w:val="00835214"/>
    <w:rsid w:val="00835552"/>
    <w:rsid w:val="0083650D"/>
    <w:rsid w:val="00836707"/>
    <w:rsid w:val="00836BC9"/>
    <w:rsid w:val="00836DB8"/>
    <w:rsid w:val="00841353"/>
    <w:rsid w:val="00841393"/>
    <w:rsid w:val="00841662"/>
    <w:rsid w:val="008430C6"/>
    <w:rsid w:val="00843B70"/>
    <w:rsid w:val="00843C5C"/>
    <w:rsid w:val="0084530B"/>
    <w:rsid w:val="00846460"/>
    <w:rsid w:val="00846F07"/>
    <w:rsid w:val="008479C3"/>
    <w:rsid w:val="0085029C"/>
    <w:rsid w:val="00854EC9"/>
    <w:rsid w:val="008554D2"/>
    <w:rsid w:val="00856585"/>
    <w:rsid w:val="00856B87"/>
    <w:rsid w:val="00857B6E"/>
    <w:rsid w:val="0086146E"/>
    <w:rsid w:val="00862648"/>
    <w:rsid w:val="00862EE5"/>
    <w:rsid w:val="008630B6"/>
    <w:rsid w:val="00864682"/>
    <w:rsid w:val="0086660D"/>
    <w:rsid w:val="008674E0"/>
    <w:rsid w:val="0087316C"/>
    <w:rsid w:val="00873A77"/>
    <w:rsid w:val="00875602"/>
    <w:rsid w:val="0087676D"/>
    <w:rsid w:val="00876F37"/>
    <w:rsid w:val="00877D9B"/>
    <w:rsid w:val="00880407"/>
    <w:rsid w:val="00880627"/>
    <w:rsid w:val="00882BEC"/>
    <w:rsid w:val="00883A97"/>
    <w:rsid w:val="008906D4"/>
    <w:rsid w:val="008917A1"/>
    <w:rsid w:val="00894538"/>
    <w:rsid w:val="00894DD3"/>
    <w:rsid w:val="008957AA"/>
    <w:rsid w:val="008968B0"/>
    <w:rsid w:val="00897889"/>
    <w:rsid w:val="00897B5D"/>
    <w:rsid w:val="00897DC2"/>
    <w:rsid w:val="008A1977"/>
    <w:rsid w:val="008A42B8"/>
    <w:rsid w:val="008A5E36"/>
    <w:rsid w:val="008A5F93"/>
    <w:rsid w:val="008A639B"/>
    <w:rsid w:val="008B1653"/>
    <w:rsid w:val="008B2549"/>
    <w:rsid w:val="008B335B"/>
    <w:rsid w:val="008B3E6A"/>
    <w:rsid w:val="008B43B4"/>
    <w:rsid w:val="008B4525"/>
    <w:rsid w:val="008B5200"/>
    <w:rsid w:val="008C1C73"/>
    <w:rsid w:val="008C1C7C"/>
    <w:rsid w:val="008C52A0"/>
    <w:rsid w:val="008C581E"/>
    <w:rsid w:val="008C6F0D"/>
    <w:rsid w:val="008D1DE9"/>
    <w:rsid w:val="008D21E8"/>
    <w:rsid w:val="008D36DC"/>
    <w:rsid w:val="008D4C83"/>
    <w:rsid w:val="008D50F6"/>
    <w:rsid w:val="008D6FB4"/>
    <w:rsid w:val="008D7221"/>
    <w:rsid w:val="008E22ED"/>
    <w:rsid w:val="008E5359"/>
    <w:rsid w:val="008E5D69"/>
    <w:rsid w:val="008F08E8"/>
    <w:rsid w:val="008F2616"/>
    <w:rsid w:val="008F4BCF"/>
    <w:rsid w:val="008F7696"/>
    <w:rsid w:val="008F77F6"/>
    <w:rsid w:val="009004AB"/>
    <w:rsid w:val="009005EE"/>
    <w:rsid w:val="00901E5A"/>
    <w:rsid w:val="00902782"/>
    <w:rsid w:val="0090356B"/>
    <w:rsid w:val="009042D5"/>
    <w:rsid w:val="00904675"/>
    <w:rsid w:val="00906842"/>
    <w:rsid w:val="00913446"/>
    <w:rsid w:val="00915A6C"/>
    <w:rsid w:val="00915FE4"/>
    <w:rsid w:val="009223F4"/>
    <w:rsid w:val="00924C42"/>
    <w:rsid w:val="00926C5C"/>
    <w:rsid w:val="00927251"/>
    <w:rsid w:val="00930691"/>
    <w:rsid w:val="00936288"/>
    <w:rsid w:val="0093766A"/>
    <w:rsid w:val="00940DDB"/>
    <w:rsid w:val="00944F6A"/>
    <w:rsid w:val="00945DF0"/>
    <w:rsid w:val="00946DD3"/>
    <w:rsid w:val="00950F27"/>
    <w:rsid w:val="00951029"/>
    <w:rsid w:val="0095156A"/>
    <w:rsid w:val="00952172"/>
    <w:rsid w:val="00954C8F"/>
    <w:rsid w:val="0095667A"/>
    <w:rsid w:val="00960B25"/>
    <w:rsid w:val="009617A6"/>
    <w:rsid w:val="00961CB7"/>
    <w:rsid w:val="0096398E"/>
    <w:rsid w:val="00966489"/>
    <w:rsid w:val="00966901"/>
    <w:rsid w:val="00966A1A"/>
    <w:rsid w:val="00970126"/>
    <w:rsid w:val="00974859"/>
    <w:rsid w:val="00976427"/>
    <w:rsid w:val="00977462"/>
    <w:rsid w:val="009774BB"/>
    <w:rsid w:val="00983408"/>
    <w:rsid w:val="00987A9F"/>
    <w:rsid w:val="00990528"/>
    <w:rsid w:val="00991D60"/>
    <w:rsid w:val="00993EC5"/>
    <w:rsid w:val="00994C35"/>
    <w:rsid w:val="00996B63"/>
    <w:rsid w:val="00997740"/>
    <w:rsid w:val="009A027D"/>
    <w:rsid w:val="009A0C3A"/>
    <w:rsid w:val="009A1759"/>
    <w:rsid w:val="009A40E0"/>
    <w:rsid w:val="009A662B"/>
    <w:rsid w:val="009B045E"/>
    <w:rsid w:val="009B0A42"/>
    <w:rsid w:val="009B1C13"/>
    <w:rsid w:val="009B4EA0"/>
    <w:rsid w:val="009C032E"/>
    <w:rsid w:val="009C0722"/>
    <w:rsid w:val="009C6B99"/>
    <w:rsid w:val="009C75EA"/>
    <w:rsid w:val="009C7A9B"/>
    <w:rsid w:val="009D396A"/>
    <w:rsid w:val="009D3B69"/>
    <w:rsid w:val="009D5547"/>
    <w:rsid w:val="009D6E63"/>
    <w:rsid w:val="009E0D1E"/>
    <w:rsid w:val="009E3636"/>
    <w:rsid w:val="009E6442"/>
    <w:rsid w:val="009F03F4"/>
    <w:rsid w:val="009F2AEE"/>
    <w:rsid w:val="009F5DD1"/>
    <w:rsid w:val="009F6255"/>
    <w:rsid w:val="009F7D2B"/>
    <w:rsid w:val="00A03DDC"/>
    <w:rsid w:val="00A05A22"/>
    <w:rsid w:val="00A069F3"/>
    <w:rsid w:val="00A10B2C"/>
    <w:rsid w:val="00A12BE6"/>
    <w:rsid w:val="00A13498"/>
    <w:rsid w:val="00A1358D"/>
    <w:rsid w:val="00A13B4F"/>
    <w:rsid w:val="00A21154"/>
    <w:rsid w:val="00A219CF"/>
    <w:rsid w:val="00A21E59"/>
    <w:rsid w:val="00A22674"/>
    <w:rsid w:val="00A24D4F"/>
    <w:rsid w:val="00A26F3F"/>
    <w:rsid w:val="00A30347"/>
    <w:rsid w:val="00A31890"/>
    <w:rsid w:val="00A322E7"/>
    <w:rsid w:val="00A32BB7"/>
    <w:rsid w:val="00A35E7B"/>
    <w:rsid w:val="00A36518"/>
    <w:rsid w:val="00A371F6"/>
    <w:rsid w:val="00A402A2"/>
    <w:rsid w:val="00A445FA"/>
    <w:rsid w:val="00A44B39"/>
    <w:rsid w:val="00A44D60"/>
    <w:rsid w:val="00A479F4"/>
    <w:rsid w:val="00A523D6"/>
    <w:rsid w:val="00A52F4E"/>
    <w:rsid w:val="00A555C1"/>
    <w:rsid w:val="00A57285"/>
    <w:rsid w:val="00A57CEF"/>
    <w:rsid w:val="00A659DE"/>
    <w:rsid w:val="00A67E67"/>
    <w:rsid w:val="00A70CAF"/>
    <w:rsid w:val="00A754A9"/>
    <w:rsid w:val="00A81837"/>
    <w:rsid w:val="00A847AA"/>
    <w:rsid w:val="00A87088"/>
    <w:rsid w:val="00A87745"/>
    <w:rsid w:val="00A87958"/>
    <w:rsid w:val="00A90FFD"/>
    <w:rsid w:val="00A9153E"/>
    <w:rsid w:val="00A91BDC"/>
    <w:rsid w:val="00A91F7F"/>
    <w:rsid w:val="00A9318A"/>
    <w:rsid w:val="00A93B19"/>
    <w:rsid w:val="00A9770F"/>
    <w:rsid w:val="00A97ACF"/>
    <w:rsid w:val="00AA059C"/>
    <w:rsid w:val="00AA0982"/>
    <w:rsid w:val="00AA2535"/>
    <w:rsid w:val="00AA2558"/>
    <w:rsid w:val="00AA2674"/>
    <w:rsid w:val="00AA6604"/>
    <w:rsid w:val="00AA71F7"/>
    <w:rsid w:val="00AB399F"/>
    <w:rsid w:val="00AB51AB"/>
    <w:rsid w:val="00AB5ADE"/>
    <w:rsid w:val="00AB5CAC"/>
    <w:rsid w:val="00AB6283"/>
    <w:rsid w:val="00AB64AE"/>
    <w:rsid w:val="00AB6DF5"/>
    <w:rsid w:val="00AC03AB"/>
    <w:rsid w:val="00AC0DB6"/>
    <w:rsid w:val="00AC28D3"/>
    <w:rsid w:val="00AC3367"/>
    <w:rsid w:val="00AD1B62"/>
    <w:rsid w:val="00AD1C0D"/>
    <w:rsid w:val="00AD1DD0"/>
    <w:rsid w:val="00AD3BF4"/>
    <w:rsid w:val="00AD3E6C"/>
    <w:rsid w:val="00AD5562"/>
    <w:rsid w:val="00AE046A"/>
    <w:rsid w:val="00AE09B9"/>
    <w:rsid w:val="00AE1248"/>
    <w:rsid w:val="00AE3AD9"/>
    <w:rsid w:val="00AE41D5"/>
    <w:rsid w:val="00AE490E"/>
    <w:rsid w:val="00AE51F8"/>
    <w:rsid w:val="00AF0737"/>
    <w:rsid w:val="00AF17FD"/>
    <w:rsid w:val="00AF2562"/>
    <w:rsid w:val="00AF27D0"/>
    <w:rsid w:val="00B01428"/>
    <w:rsid w:val="00B03983"/>
    <w:rsid w:val="00B0412F"/>
    <w:rsid w:val="00B07BCB"/>
    <w:rsid w:val="00B07FC6"/>
    <w:rsid w:val="00B11707"/>
    <w:rsid w:val="00B11B39"/>
    <w:rsid w:val="00B13340"/>
    <w:rsid w:val="00B1443D"/>
    <w:rsid w:val="00B1497C"/>
    <w:rsid w:val="00B14E8C"/>
    <w:rsid w:val="00B17597"/>
    <w:rsid w:val="00B17A8B"/>
    <w:rsid w:val="00B2038E"/>
    <w:rsid w:val="00B20C01"/>
    <w:rsid w:val="00B21B4B"/>
    <w:rsid w:val="00B22310"/>
    <w:rsid w:val="00B22E53"/>
    <w:rsid w:val="00B23220"/>
    <w:rsid w:val="00B2539A"/>
    <w:rsid w:val="00B253D5"/>
    <w:rsid w:val="00B3206E"/>
    <w:rsid w:val="00B331A5"/>
    <w:rsid w:val="00B365D1"/>
    <w:rsid w:val="00B40553"/>
    <w:rsid w:val="00B40C8F"/>
    <w:rsid w:val="00B4139D"/>
    <w:rsid w:val="00B42E44"/>
    <w:rsid w:val="00B430DF"/>
    <w:rsid w:val="00B44513"/>
    <w:rsid w:val="00B45711"/>
    <w:rsid w:val="00B45A37"/>
    <w:rsid w:val="00B47496"/>
    <w:rsid w:val="00B51DA9"/>
    <w:rsid w:val="00B55DCE"/>
    <w:rsid w:val="00B5731B"/>
    <w:rsid w:val="00B6097F"/>
    <w:rsid w:val="00B60DA1"/>
    <w:rsid w:val="00B62C4F"/>
    <w:rsid w:val="00B62CC3"/>
    <w:rsid w:val="00B6337A"/>
    <w:rsid w:val="00B63534"/>
    <w:rsid w:val="00B6442C"/>
    <w:rsid w:val="00B65B72"/>
    <w:rsid w:val="00B7176D"/>
    <w:rsid w:val="00B71A21"/>
    <w:rsid w:val="00B75221"/>
    <w:rsid w:val="00B765F8"/>
    <w:rsid w:val="00B77676"/>
    <w:rsid w:val="00B83019"/>
    <w:rsid w:val="00B831C6"/>
    <w:rsid w:val="00B83E0E"/>
    <w:rsid w:val="00B84D23"/>
    <w:rsid w:val="00B866BB"/>
    <w:rsid w:val="00B86DCC"/>
    <w:rsid w:val="00B8766A"/>
    <w:rsid w:val="00B907CF"/>
    <w:rsid w:val="00B90B3B"/>
    <w:rsid w:val="00B92D2B"/>
    <w:rsid w:val="00B9342D"/>
    <w:rsid w:val="00B94001"/>
    <w:rsid w:val="00B96E38"/>
    <w:rsid w:val="00B971DB"/>
    <w:rsid w:val="00B976AB"/>
    <w:rsid w:val="00B97F20"/>
    <w:rsid w:val="00BA0C4E"/>
    <w:rsid w:val="00BA2E37"/>
    <w:rsid w:val="00BA4390"/>
    <w:rsid w:val="00BA4E11"/>
    <w:rsid w:val="00BB075A"/>
    <w:rsid w:val="00BB1C48"/>
    <w:rsid w:val="00BB7BED"/>
    <w:rsid w:val="00BC00F6"/>
    <w:rsid w:val="00BC0556"/>
    <w:rsid w:val="00BC12F4"/>
    <w:rsid w:val="00BC45EB"/>
    <w:rsid w:val="00BD1437"/>
    <w:rsid w:val="00BD2EEA"/>
    <w:rsid w:val="00BD3BA4"/>
    <w:rsid w:val="00BD54EE"/>
    <w:rsid w:val="00BD5786"/>
    <w:rsid w:val="00BE40A7"/>
    <w:rsid w:val="00BE5D5C"/>
    <w:rsid w:val="00BE7960"/>
    <w:rsid w:val="00BF2B43"/>
    <w:rsid w:val="00BF4E70"/>
    <w:rsid w:val="00BF5759"/>
    <w:rsid w:val="00BF6189"/>
    <w:rsid w:val="00C004CB"/>
    <w:rsid w:val="00C01423"/>
    <w:rsid w:val="00C0435F"/>
    <w:rsid w:val="00C04DCD"/>
    <w:rsid w:val="00C051F3"/>
    <w:rsid w:val="00C1005F"/>
    <w:rsid w:val="00C107F3"/>
    <w:rsid w:val="00C11350"/>
    <w:rsid w:val="00C116D3"/>
    <w:rsid w:val="00C1212D"/>
    <w:rsid w:val="00C14493"/>
    <w:rsid w:val="00C15752"/>
    <w:rsid w:val="00C15D6B"/>
    <w:rsid w:val="00C170D4"/>
    <w:rsid w:val="00C174DC"/>
    <w:rsid w:val="00C214FC"/>
    <w:rsid w:val="00C26039"/>
    <w:rsid w:val="00C2674B"/>
    <w:rsid w:val="00C306CA"/>
    <w:rsid w:val="00C3099B"/>
    <w:rsid w:val="00C31377"/>
    <w:rsid w:val="00C32A61"/>
    <w:rsid w:val="00C3388A"/>
    <w:rsid w:val="00C34132"/>
    <w:rsid w:val="00C36E77"/>
    <w:rsid w:val="00C3764C"/>
    <w:rsid w:val="00C37947"/>
    <w:rsid w:val="00C37D1F"/>
    <w:rsid w:val="00C419E1"/>
    <w:rsid w:val="00C41BA8"/>
    <w:rsid w:val="00C429B7"/>
    <w:rsid w:val="00C43DEB"/>
    <w:rsid w:val="00C47509"/>
    <w:rsid w:val="00C52C12"/>
    <w:rsid w:val="00C5393C"/>
    <w:rsid w:val="00C53FEB"/>
    <w:rsid w:val="00C542DB"/>
    <w:rsid w:val="00C563AD"/>
    <w:rsid w:val="00C56EA8"/>
    <w:rsid w:val="00C6375E"/>
    <w:rsid w:val="00C70970"/>
    <w:rsid w:val="00C7146A"/>
    <w:rsid w:val="00C743E9"/>
    <w:rsid w:val="00C76873"/>
    <w:rsid w:val="00C775FA"/>
    <w:rsid w:val="00C779FA"/>
    <w:rsid w:val="00C810EA"/>
    <w:rsid w:val="00C83093"/>
    <w:rsid w:val="00C83F47"/>
    <w:rsid w:val="00C8478F"/>
    <w:rsid w:val="00C84DA9"/>
    <w:rsid w:val="00C84FF1"/>
    <w:rsid w:val="00C866D5"/>
    <w:rsid w:val="00C87F5F"/>
    <w:rsid w:val="00C91B01"/>
    <w:rsid w:val="00C9447E"/>
    <w:rsid w:val="00C94515"/>
    <w:rsid w:val="00C979EA"/>
    <w:rsid w:val="00C97B05"/>
    <w:rsid w:val="00C97CDE"/>
    <w:rsid w:val="00C97E05"/>
    <w:rsid w:val="00CA13E7"/>
    <w:rsid w:val="00CA33CB"/>
    <w:rsid w:val="00CA7DEA"/>
    <w:rsid w:val="00CB1715"/>
    <w:rsid w:val="00CB305E"/>
    <w:rsid w:val="00CB5733"/>
    <w:rsid w:val="00CB61BE"/>
    <w:rsid w:val="00CB6566"/>
    <w:rsid w:val="00CC1723"/>
    <w:rsid w:val="00CC304E"/>
    <w:rsid w:val="00CC5534"/>
    <w:rsid w:val="00CC6DC3"/>
    <w:rsid w:val="00CC6FF3"/>
    <w:rsid w:val="00CC7FA9"/>
    <w:rsid w:val="00CD02C3"/>
    <w:rsid w:val="00CD089B"/>
    <w:rsid w:val="00CD23AF"/>
    <w:rsid w:val="00CD4DE3"/>
    <w:rsid w:val="00CD4F7D"/>
    <w:rsid w:val="00CD521B"/>
    <w:rsid w:val="00CD56A8"/>
    <w:rsid w:val="00CD5D82"/>
    <w:rsid w:val="00CD61D5"/>
    <w:rsid w:val="00CD6A1B"/>
    <w:rsid w:val="00CD6F64"/>
    <w:rsid w:val="00CE1E83"/>
    <w:rsid w:val="00CE479E"/>
    <w:rsid w:val="00CE62F6"/>
    <w:rsid w:val="00CE7903"/>
    <w:rsid w:val="00CF070D"/>
    <w:rsid w:val="00CF20A8"/>
    <w:rsid w:val="00CF2D13"/>
    <w:rsid w:val="00CF34EC"/>
    <w:rsid w:val="00CF35A7"/>
    <w:rsid w:val="00CF49EF"/>
    <w:rsid w:val="00CF4F0C"/>
    <w:rsid w:val="00CF613D"/>
    <w:rsid w:val="00CF6918"/>
    <w:rsid w:val="00CF7B2B"/>
    <w:rsid w:val="00D0034A"/>
    <w:rsid w:val="00D0048C"/>
    <w:rsid w:val="00D01EBA"/>
    <w:rsid w:val="00D03DAC"/>
    <w:rsid w:val="00D04C89"/>
    <w:rsid w:val="00D05060"/>
    <w:rsid w:val="00D05D96"/>
    <w:rsid w:val="00D06853"/>
    <w:rsid w:val="00D07504"/>
    <w:rsid w:val="00D11703"/>
    <w:rsid w:val="00D11C85"/>
    <w:rsid w:val="00D12189"/>
    <w:rsid w:val="00D15A17"/>
    <w:rsid w:val="00D22422"/>
    <w:rsid w:val="00D3084E"/>
    <w:rsid w:val="00D30EA4"/>
    <w:rsid w:val="00D34A41"/>
    <w:rsid w:val="00D35F3C"/>
    <w:rsid w:val="00D36BEB"/>
    <w:rsid w:val="00D41429"/>
    <w:rsid w:val="00D43B87"/>
    <w:rsid w:val="00D43EFF"/>
    <w:rsid w:val="00D4513B"/>
    <w:rsid w:val="00D470F3"/>
    <w:rsid w:val="00D50407"/>
    <w:rsid w:val="00D5240C"/>
    <w:rsid w:val="00D53F3C"/>
    <w:rsid w:val="00D56ADE"/>
    <w:rsid w:val="00D57612"/>
    <w:rsid w:val="00D60884"/>
    <w:rsid w:val="00D61153"/>
    <w:rsid w:val="00D623B8"/>
    <w:rsid w:val="00D631EF"/>
    <w:rsid w:val="00D67C13"/>
    <w:rsid w:val="00D717F7"/>
    <w:rsid w:val="00D74352"/>
    <w:rsid w:val="00D74E50"/>
    <w:rsid w:val="00D75C0A"/>
    <w:rsid w:val="00D76349"/>
    <w:rsid w:val="00D77C19"/>
    <w:rsid w:val="00D806F7"/>
    <w:rsid w:val="00D80E48"/>
    <w:rsid w:val="00D829A2"/>
    <w:rsid w:val="00D91588"/>
    <w:rsid w:val="00D91942"/>
    <w:rsid w:val="00D9455E"/>
    <w:rsid w:val="00D96341"/>
    <w:rsid w:val="00D96476"/>
    <w:rsid w:val="00D96BCF"/>
    <w:rsid w:val="00D9744F"/>
    <w:rsid w:val="00D97E36"/>
    <w:rsid w:val="00DA09BA"/>
    <w:rsid w:val="00DA32FB"/>
    <w:rsid w:val="00DA3572"/>
    <w:rsid w:val="00DA60FE"/>
    <w:rsid w:val="00DA79C5"/>
    <w:rsid w:val="00DB0BBE"/>
    <w:rsid w:val="00DC1819"/>
    <w:rsid w:val="00DC20DF"/>
    <w:rsid w:val="00DC2452"/>
    <w:rsid w:val="00DC5975"/>
    <w:rsid w:val="00DC71DC"/>
    <w:rsid w:val="00DD0341"/>
    <w:rsid w:val="00DD0BB8"/>
    <w:rsid w:val="00DD2A30"/>
    <w:rsid w:val="00DD33D8"/>
    <w:rsid w:val="00DD63C9"/>
    <w:rsid w:val="00DD6F3B"/>
    <w:rsid w:val="00DE019E"/>
    <w:rsid w:val="00DE1BC4"/>
    <w:rsid w:val="00DE386E"/>
    <w:rsid w:val="00DE3A24"/>
    <w:rsid w:val="00DE42CC"/>
    <w:rsid w:val="00DF0C0C"/>
    <w:rsid w:val="00DF6262"/>
    <w:rsid w:val="00DF7CA3"/>
    <w:rsid w:val="00E0019A"/>
    <w:rsid w:val="00E00A35"/>
    <w:rsid w:val="00E00CF0"/>
    <w:rsid w:val="00E02C21"/>
    <w:rsid w:val="00E02D21"/>
    <w:rsid w:val="00E042E3"/>
    <w:rsid w:val="00E1000D"/>
    <w:rsid w:val="00E13409"/>
    <w:rsid w:val="00E23E95"/>
    <w:rsid w:val="00E244B5"/>
    <w:rsid w:val="00E24B10"/>
    <w:rsid w:val="00E275CA"/>
    <w:rsid w:val="00E27D33"/>
    <w:rsid w:val="00E3072D"/>
    <w:rsid w:val="00E30F4A"/>
    <w:rsid w:val="00E322F9"/>
    <w:rsid w:val="00E32465"/>
    <w:rsid w:val="00E3266B"/>
    <w:rsid w:val="00E3287E"/>
    <w:rsid w:val="00E35DEC"/>
    <w:rsid w:val="00E400FA"/>
    <w:rsid w:val="00E43873"/>
    <w:rsid w:val="00E45B61"/>
    <w:rsid w:val="00E4650E"/>
    <w:rsid w:val="00E46FEF"/>
    <w:rsid w:val="00E50164"/>
    <w:rsid w:val="00E534A9"/>
    <w:rsid w:val="00E544FB"/>
    <w:rsid w:val="00E6018A"/>
    <w:rsid w:val="00E61634"/>
    <w:rsid w:val="00E630B0"/>
    <w:rsid w:val="00E63463"/>
    <w:rsid w:val="00E634A6"/>
    <w:rsid w:val="00E63782"/>
    <w:rsid w:val="00E64305"/>
    <w:rsid w:val="00E653D9"/>
    <w:rsid w:val="00E6554B"/>
    <w:rsid w:val="00E65BAA"/>
    <w:rsid w:val="00E73133"/>
    <w:rsid w:val="00E73DAB"/>
    <w:rsid w:val="00E746F1"/>
    <w:rsid w:val="00E75CFB"/>
    <w:rsid w:val="00E768B9"/>
    <w:rsid w:val="00E7722A"/>
    <w:rsid w:val="00E803F8"/>
    <w:rsid w:val="00E830E6"/>
    <w:rsid w:val="00E83117"/>
    <w:rsid w:val="00E835EB"/>
    <w:rsid w:val="00E844E0"/>
    <w:rsid w:val="00E84AA0"/>
    <w:rsid w:val="00E87448"/>
    <w:rsid w:val="00E8758B"/>
    <w:rsid w:val="00E877CF"/>
    <w:rsid w:val="00E91592"/>
    <w:rsid w:val="00E917BC"/>
    <w:rsid w:val="00E94EE9"/>
    <w:rsid w:val="00E967C7"/>
    <w:rsid w:val="00EA07B6"/>
    <w:rsid w:val="00EA098A"/>
    <w:rsid w:val="00EA2098"/>
    <w:rsid w:val="00EA28D7"/>
    <w:rsid w:val="00EA296D"/>
    <w:rsid w:val="00EA6FD1"/>
    <w:rsid w:val="00EB3226"/>
    <w:rsid w:val="00EB3F5B"/>
    <w:rsid w:val="00EB5362"/>
    <w:rsid w:val="00EB6C87"/>
    <w:rsid w:val="00EB73A2"/>
    <w:rsid w:val="00EC1815"/>
    <w:rsid w:val="00EC1DD5"/>
    <w:rsid w:val="00EC3AA5"/>
    <w:rsid w:val="00EC51FC"/>
    <w:rsid w:val="00EC539B"/>
    <w:rsid w:val="00EC61AD"/>
    <w:rsid w:val="00EC64E2"/>
    <w:rsid w:val="00ED05CC"/>
    <w:rsid w:val="00ED25CC"/>
    <w:rsid w:val="00ED274F"/>
    <w:rsid w:val="00ED4C3B"/>
    <w:rsid w:val="00ED6C87"/>
    <w:rsid w:val="00EE15FE"/>
    <w:rsid w:val="00EE34EE"/>
    <w:rsid w:val="00EE3782"/>
    <w:rsid w:val="00EE61B8"/>
    <w:rsid w:val="00EE742D"/>
    <w:rsid w:val="00EE7BBC"/>
    <w:rsid w:val="00EF2115"/>
    <w:rsid w:val="00EF291B"/>
    <w:rsid w:val="00EF62BD"/>
    <w:rsid w:val="00EF667E"/>
    <w:rsid w:val="00EF6F61"/>
    <w:rsid w:val="00EF71E3"/>
    <w:rsid w:val="00F00A0D"/>
    <w:rsid w:val="00F01A9E"/>
    <w:rsid w:val="00F04A2F"/>
    <w:rsid w:val="00F10B4A"/>
    <w:rsid w:val="00F14111"/>
    <w:rsid w:val="00F14231"/>
    <w:rsid w:val="00F16AD5"/>
    <w:rsid w:val="00F1768B"/>
    <w:rsid w:val="00F17C8E"/>
    <w:rsid w:val="00F207BE"/>
    <w:rsid w:val="00F2106E"/>
    <w:rsid w:val="00F21629"/>
    <w:rsid w:val="00F23490"/>
    <w:rsid w:val="00F276B4"/>
    <w:rsid w:val="00F278C2"/>
    <w:rsid w:val="00F3020B"/>
    <w:rsid w:val="00F318B2"/>
    <w:rsid w:val="00F32583"/>
    <w:rsid w:val="00F32891"/>
    <w:rsid w:val="00F330C7"/>
    <w:rsid w:val="00F33EF9"/>
    <w:rsid w:val="00F33F9B"/>
    <w:rsid w:val="00F34DE9"/>
    <w:rsid w:val="00F360A6"/>
    <w:rsid w:val="00F4104D"/>
    <w:rsid w:val="00F41DCB"/>
    <w:rsid w:val="00F4395F"/>
    <w:rsid w:val="00F44479"/>
    <w:rsid w:val="00F45223"/>
    <w:rsid w:val="00F46CAD"/>
    <w:rsid w:val="00F47883"/>
    <w:rsid w:val="00F51571"/>
    <w:rsid w:val="00F51737"/>
    <w:rsid w:val="00F518C2"/>
    <w:rsid w:val="00F5250E"/>
    <w:rsid w:val="00F52552"/>
    <w:rsid w:val="00F54641"/>
    <w:rsid w:val="00F6274C"/>
    <w:rsid w:val="00F63BAD"/>
    <w:rsid w:val="00F70404"/>
    <w:rsid w:val="00F73E8D"/>
    <w:rsid w:val="00F75734"/>
    <w:rsid w:val="00F7796E"/>
    <w:rsid w:val="00F805B8"/>
    <w:rsid w:val="00F80641"/>
    <w:rsid w:val="00F816CC"/>
    <w:rsid w:val="00F8368D"/>
    <w:rsid w:val="00F84E23"/>
    <w:rsid w:val="00F85816"/>
    <w:rsid w:val="00F86366"/>
    <w:rsid w:val="00F86AD1"/>
    <w:rsid w:val="00F939E5"/>
    <w:rsid w:val="00F93C26"/>
    <w:rsid w:val="00F94562"/>
    <w:rsid w:val="00F94A5E"/>
    <w:rsid w:val="00F95926"/>
    <w:rsid w:val="00F95BFE"/>
    <w:rsid w:val="00F96CAD"/>
    <w:rsid w:val="00F97FF7"/>
    <w:rsid w:val="00FA0D7C"/>
    <w:rsid w:val="00FA147F"/>
    <w:rsid w:val="00FA2883"/>
    <w:rsid w:val="00FA2A18"/>
    <w:rsid w:val="00FA3CA8"/>
    <w:rsid w:val="00FA4910"/>
    <w:rsid w:val="00FA6DED"/>
    <w:rsid w:val="00FA7C8E"/>
    <w:rsid w:val="00FA7FE6"/>
    <w:rsid w:val="00FB29A1"/>
    <w:rsid w:val="00FB58DC"/>
    <w:rsid w:val="00FB58DE"/>
    <w:rsid w:val="00FB7076"/>
    <w:rsid w:val="00FB74FA"/>
    <w:rsid w:val="00FB7590"/>
    <w:rsid w:val="00FC13E2"/>
    <w:rsid w:val="00FC3386"/>
    <w:rsid w:val="00FC35F9"/>
    <w:rsid w:val="00FC544A"/>
    <w:rsid w:val="00FC5B88"/>
    <w:rsid w:val="00FC71D3"/>
    <w:rsid w:val="00FD13CB"/>
    <w:rsid w:val="00FD2DBF"/>
    <w:rsid w:val="00FD41F0"/>
    <w:rsid w:val="00FD5090"/>
    <w:rsid w:val="00FD708B"/>
    <w:rsid w:val="00FE2803"/>
    <w:rsid w:val="00FE2CFE"/>
    <w:rsid w:val="00FE6605"/>
    <w:rsid w:val="00FE74D9"/>
    <w:rsid w:val="00FF0C7C"/>
    <w:rsid w:val="00FF2375"/>
    <w:rsid w:val="00FF3000"/>
    <w:rsid w:val="00FF40F0"/>
    <w:rsid w:val="00FF4496"/>
    <w:rsid w:val="00FF5EB1"/>
    <w:rsid w:val="00FF796A"/>
    <w:rsid w:val="00FF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25D56AC0"/>
  <w15:docId w15:val="{28BF428D-BB80-44F5-AC7C-86473D9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21"/>
    <w:rPr>
      <w:sz w:val="28"/>
    </w:rPr>
  </w:style>
  <w:style w:type="paragraph" w:styleId="1">
    <w:name w:val="heading 1"/>
    <w:basedOn w:val="a"/>
    <w:next w:val="a"/>
    <w:link w:val="10"/>
    <w:qFormat/>
    <w:rsid w:val="008479C3"/>
    <w:pPr>
      <w:keepNext/>
      <w:spacing w:before="240" w:after="60"/>
      <w:jc w:val="both"/>
      <w:outlineLvl w:val="0"/>
    </w:pPr>
    <w:rPr>
      <w:rFonts w:ascii="Arial" w:hAnsi="Arial" w:cs="Arial"/>
      <w:b/>
      <w:bCs/>
      <w:kern w:val="32"/>
      <w:sz w:val="32"/>
      <w:szCs w:val="32"/>
    </w:rPr>
  </w:style>
  <w:style w:type="paragraph" w:styleId="2">
    <w:name w:val="heading 2"/>
    <w:basedOn w:val="a"/>
    <w:next w:val="a"/>
    <w:link w:val="20"/>
    <w:unhideWhenUsed/>
    <w:qFormat/>
    <w:rsid w:val="002F7757"/>
    <w:pPr>
      <w:keepNext/>
      <w:spacing w:before="240" w:after="60"/>
      <w:outlineLvl w:val="1"/>
    </w:pPr>
    <w:rPr>
      <w:rFonts w:ascii="Cambria" w:hAnsi="Cambria"/>
      <w:b/>
      <w:bCs/>
      <w:i/>
      <w:iCs/>
      <w:szCs w:val="28"/>
    </w:rPr>
  </w:style>
  <w:style w:type="paragraph" w:styleId="7">
    <w:name w:val="heading 7"/>
    <w:basedOn w:val="a"/>
    <w:next w:val="a"/>
    <w:link w:val="70"/>
    <w:uiPriority w:val="99"/>
    <w:qFormat/>
    <w:rsid w:val="004E574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9C3"/>
    <w:rPr>
      <w:rFonts w:ascii="Arial" w:hAnsi="Arial" w:cs="Arial"/>
      <w:b/>
      <w:bCs/>
      <w:kern w:val="32"/>
      <w:sz w:val="32"/>
      <w:szCs w:val="32"/>
    </w:rPr>
  </w:style>
  <w:style w:type="paragraph" w:styleId="a3">
    <w:name w:val="header"/>
    <w:basedOn w:val="a"/>
    <w:link w:val="a4"/>
    <w:uiPriority w:val="99"/>
    <w:rsid w:val="00E02D21"/>
    <w:pPr>
      <w:tabs>
        <w:tab w:val="center" w:pos="4153"/>
        <w:tab w:val="right" w:pos="8306"/>
      </w:tabs>
      <w:jc w:val="center"/>
    </w:pPr>
    <w:rPr>
      <w:b/>
    </w:rPr>
  </w:style>
  <w:style w:type="paragraph" w:styleId="a5">
    <w:name w:val="footer"/>
    <w:basedOn w:val="a"/>
    <w:link w:val="a6"/>
    <w:rsid w:val="00E02D21"/>
    <w:pPr>
      <w:tabs>
        <w:tab w:val="center" w:pos="4153"/>
        <w:tab w:val="right" w:pos="8306"/>
      </w:tabs>
    </w:pPr>
  </w:style>
  <w:style w:type="paragraph" w:customStyle="1" w:styleId="21">
    <w:name w:val="ВерхКолонтитул2"/>
    <w:basedOn w:val="a3"/>
    <w:rsid w:val="00E02D21"/>
    <w:pPr>
      <w:ind w:left="284"/>
      <w:jc w:val="left"/>
    </w:pPr>
    <w:rPr>
      <w:b w:val="0"/>
      <w:sz w:val="20"/>
    </w:rPr>
  </w:style>
  <w:style w:type="paragraph" w:customStyle="1" w:styleId="11">
    <w:name w:val="Заголовок1"/>
    <w:basedOn w:val="a"/>
    <w:rsid w:val="00E02D21"/>
    <w:rPr>
      <w:b/>
    </w:rPr>
  </w:style>
  <w:style w:type="paragraph" w:styleId="a7">
    <w:name w:val="Body Text Indent"/>
    <w:basedOn w:val="a"/>
    <w:link w:val="a8"/>
    <w:rsid w:val="00E02D21"/>
    <w:pPr>
      <w:ind w:firstLine="567"/>
      <w:jc w:val="both"/>
    </w:pPr>
    <w:rPr>
      <w:sz w:val="24"/>
    </w:rPr>
  </w:style>
  <w:style w:type="character" w:customStyle="1" w:styleId="a8">
    <w:name w:val="Основной текст с отступом Знак"/>
    <w:basedOn w:val="a0"/>
    <w:link w:val="a7"/>
    <w:rsid w:val="00EE61B8"/>
    <w:rPr>
      <w:sz w:val="24"/>
    </w:rPr>
  </w:style>
  <w:style w:type="paragraph" w:customStyle="1" w:styleId="ConsNonformat">
    <w:name w:val="ConsNonformat"/>
    <w:rsid w:val="00E02D21"/>
    <w:pPr>
      <w:widowControl w:val="0"/>
    </w:pPr>
    <w:rPr>
      <w:rFonts w:ascii="Courier New" w:hAnsi="Courier New"/>
      <w:snapToGrid w:val="0"/>
    </w:rPr>
  </w:style>
  <w:style w:type="paragraph" w:customStyle="1" w:styleId="ConsNormal">
    <w:name w:val="ConsNormal"/>
    <w:uiPriority w:val="99"/>
    <w:rsid w:val="00E02D21"/>
    <w:pPr>
      <w:widowControl w:val="0"/>
      <w:ind w:firstLine="720"/>
    </w:pPr>
    <w:rPr>
      <w:rFonts w:ascii="Arial" w:hAnsi="Arial"/>
      <w:snapToGrid w:val="0"/>
    </w:rPr>
  </w:style>
  <w:style w:type="paragraph" w:customStyle="1" w:styleId="ConsTitle">
    <w:name w:val="ConsTitle"/>
    <w:rsid w:val="00E02D21"/>
    <w:pPr>
      <w:widowControl w:val="0"/>
    </w:pPr>
    <w:rPr>
      <w:rFonts w:ascii="Arial" w:hAnsi="Arial"/>
      <w:b/>
      <w:snapToGrid w:val="0"/>
      <w:sz w:val="16"/>
    </w:rPr>
  </w:style>
  <w:style w:type="paragraph" w:styleId="22">
    <w:name w:val="Body Text Indent 2"/>
    <w:basedOn w:val="a"/>
    <w:link w:val="23"/>
    <w:rsid w:val="00E02D21"/>
    <w:pPr>
      <w:ind w:firstLine="567"/>
      <w:jc w:val="both"/>
    </w:pPr>
  </w:style>
  <w:style w:type="paragraph" w:styleId="a9">
    <w:name w:val="Balloon Text"/>
    <w:basedOn w:val="a"/>
    <w:semiHidden/>
    <w:rsid w:val="00EA28D7"/>
    <w:rPr>
      <w:rFonts w:ascii="Tahoma" w:hAnsi="Tahoma" w:cs="Tahoma"/>
      <w:sz w:val="16"/>
      <w:szCs w:val="16"/>
    </w:rPr>
  </w:style>
  <w:style w:type="paragraph" w:customStyle="1" w:styleId="ConsPlusNonformat">
    <w:name w:val="ConsPlusNonformat"/>
    <w:rsid w:val="009C75EA"/>
    <w:pPr>
      <w:autoSpaceDE w:val="0"/>
      <w:autoSpaceDN w:val="0"/>
      <w:adjustRightInd w:val="0"/>
    </w:pPr>
    <w:rPr>
      <w:rFonts w:ascii="Courier New" w:hAnsi="Courier New" w:cs="Courier New"/>
    </w:rPr>
  </w:style>
  <w:style w:type="paragraph" w:styleId="aa">
    <w:name w:val="Block Text"/>
    <w:basedOn w:val="a"/>
    <w:rsid w:val="00C97E05"/>
    <w:pPr>
      <w:tabs>
        <w:tab w:val="num" w:pos="1069"/>
      </w:tabs>
      <w:spacing w:line="360" w:lineRule="auto"/>
      <w:ind w:left="-360" w:right="-636" w:firstLine="907"/>
      <w:jc w:val="both"/>
    </w:pPr>
  </w:style>
  <w:style w:type="paragraph" w:styleId="ab">
    <w:name w:val="List Paragraph"/>
    <w:basedOn w:val="a"/>
    <w:uiPriority w:val="34"/>
    <w:qFormat/>
    <w:rsid w:val="00C97E05"/>
    <w:pPr>
      <w:ind w:left="720"/>
      <w:contextualSpacing/>
    </w:pPr>
    <w:rPr>
      <w:sz w:val="24"/>
      <w:szCs w:val="24"/>
    </w:rPr>
  </w:style>
  <w:style w:type="paragraph" w:customStyle="1" w:styleId="ConsPlusNormal">
    <w:name w:val="ConsPlusNormal"/>
    <w:link w:val="ConsPlusNormal0"/>
    <w:rsid w:val="00C97E0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C97E05"/>
    <w:rPr>
      <w:rFonts w:ascii="Arial" w:hAnsi="Arial" w:cs="Arial"/>
      <w:lang w:val="ru-RU" w:eastAsia="ru-RU" w:bidi="ar-SA"/>
    </w:rPr>
  </w:style>
  <w:style w:type="paragraph" w:customStyle="1" w:styleId="31">
    <w:name w:val="Основной текст с отступом 31"/>
    <w:basedOn w:val="a"/>
    <w:rsid w:val="00C97E05"/>
    <w:pPr>
      <w:widowControl w:val="0"/>
      <w:overflowPunct w:val="0"/>
      <w:autoSpaceDE w:val="0"/>
      <w:autoSpaceDN w:val="0"/>
      <w:adjustRightInd w:val="0"/>
      <w:ind w:firstLine="709"/>
      <w:jc w:val="both"/>
      <w:textAlignment w:val="baseline"/>
    </w:pPr>
  </w:style>
  <w:style w:type="paragraph" w:styleId="ac">
    <w:name w:val="Body Text"/>
    <w:basedOn w:val="a"/>
    <w:link w:val="ad"/>
    <w:rsid w:val="00C97E05"/>
    <w:pPr>
      <w:spacing w:after="120"/>
    </w:pPr>
    <w:rPr>
      <w:sz w:val="24"/>
      <w:szCs w:val="24"/>
    </w:rPr>
  </w:style>
  <w:style w:type="character" w:customStyle="1" w:styleId="ad">
    <w:name w:val="Основной текст Знак"/>
    <w:basedOn w:val="a0"/>
    <w:link w:val="ac"/>
    <w:rsid w:val="00C97E05"/>
    <w:rPr>
      <w:sz w:val="24"/>
      <w:szCs w:val="24"/>
    </w:rPr>
  </w:style>
  <w:style w:type="character" w:customStyle="1" w:styleId="FontStyle13">
    <w:name w:val="Font Style13"/>
    <w:basedOn w:val="a0"/>
    <w:rsid w:val="00C97E05"/>
    <w:rPr>
      <w:rFonts w:ascii="Times New Roman" w:hAnsi="Times New Roman" w:cs="Times New Roman"/>
      <w:sz w:val="28"/>
      <w:szCs w:val="28"/>
    </w:rPr>
  </w:style>
  <w:style w:type="paragraph" w:styleId="24">
    <w:name w:val="Body Text 2"/>
    <w:basedOn w:val="a"/>
    <w:link w:val="25"/>
    <w:rsid w:val="00EE61B8"/>
    <w:pPr>
      <w:spacing w:after="120" w:line="480" w:lineRule="auto"/>
    </w:pPr>
  </w:style>
  <w:style w:type="character" w:customStyle="1" w:styleId="25">
    <w:name w:val="Основной текст 2 Знак"/>
    <w:basedOn w:val="a0"/>
    <w:link w:val="24"/>
    <w:rsid w:val="00EE61B8"/>
    <w:rPr>
      <w:sz w:val="28"/>
    </w:rPr>
  </w:style>
  <w:style w:type="paragraph" w:styleId="26">
    <w:name w:val="Body Text First Indent 2"/>
    <w:basedOn w:val="a7"/>
    <w:link w:val="27"/>
    <w:rsid w:val="00EE61B8"/>
    <w:pPr>
      <w:spacing w:after="120"/>
      <w:ind w:left="283" w:firstLine="210"/>
      <w:jc w:val="left"/>
    </w:pPr>
    <w:rPr>
      <w:sz w:val="28"/>
    </w:rPr>
  </w:style>
  <w:style w:type="character" w:customStyle="1" w:styleId="27">
    <w:name w:val="Красная строка 2 Знак"/>
    <w:basedOn w:val="a8"/>
    <w:link w:val="26"/>
    <w:rsid w:val="00EE61B8"/>
    <w:rPr>
      <w:sz w:val="24"/>
    </w:rPr>
  </w:style>
  <w:style w:type="paragraph" w:styleId="ae">
    <w:name w:val="caption"/>
    <w:basedOn w:val="a"/>
    <w:next w:val="a"/>
    <w:uiPriority w:val="35"/>
    <w:qFormat/>
    <w:rsid w:val="008479C3"/>
  </w:style>
  <w:style w:type="character" w:styleId="af">
    <w:name w:val="annotation reference"/>
    <w:basedOn w:val="a0"/>
    <w:rsid w:val="002248F8"/>
    <w:rPr>
      <w:sz w:val="16"/>
      <w:szCs w:val="16"/>
    </w:rPr>
  </w:style>
  <w:style w:type="paragraph" w:styleId="af0">
    <w:name w:val="annotation text"/>
    <w:basedOn w:val="a"/>
    <w:link w:val="af1"/>
    <w:rsid w:val="002248F8"/>
    <w:rPr>
      <w:sz w:val="20"/>
    </w:rPr>
  </w:style>
  <w:style w:type="character" w:customStyle="1" w:styleId="af1">
    <w:name w:val="Текст примечания Знак"/>
    <w:basedOn w:val="a0"/>
    <w:link w:val="af0"/>
    <w:rsid w:val="002248F8"/>
  </w:style>
  <w:style w:type="paragraph" w:styleId="af2">
    <w:name w:val="annotation subject"/>
    <w:basedOn w:val="af0"/>
    <w:next w:val="af0"/>
    <w:link w:val="af3"/>
    <w:rsid w:val="002248F8"/>
    <w:rPr>
      <w:b/>
      <w:bCs/>
    </w:rPr>
  </w:style>
  <w:style w:type="character" w:customStyle="1" w:styleId="af3">
    <w:name w:val="Тема примечания Знак"/>
    <w:basedOn w:val="af1"/>
    <w:link w:val="af2"/>
    <w:rsid w:val="002248F8"/>
    <w:rPr>
      <w:b/>
      <w:bCs/>
    </w:rPr>
  </w:style>
  <w:style w:type="character" w:customStyle="1" w:styleId="af4">
    <w:name w:val="ШапкаПостЧасть"/>
    <w:rsid w:val="007160A3"/>
    <w:rPr>
      <w:rFonts w:ascii="Arial" w:hAnsi="Arial"/>
      <w:b/>
      <w:spacing w:val="-10"/>
      <w:sz w:val="18"/>
    </w:rPr>
  </w:style>
  <w:style w:type="paragraph" w:customStyle="1" w:styleId="ConsPlusCell">
    <w:name w:val="ConsPlusCell"/>
    <w:rsid w:val="004232FB"/>
    <w:pPr>
      <w:widowControl w:val="0"/>
      <w:autoSpaceDE w:val="0"/>
      <w:autoSpaceDN w:val="0"/>
      <w:adjustRightInd w:val="0"/>
    </w:pPr>
    <w:rPr>
      <w:sz w:val="28"/>
      <w:szCs w:val="28"/>
    </w:rPr>
  </w:style>
  <w:style w:type="paragraph" w:styleId="af5">
    <w:name w:val="Title"/>
    <w:aliases w:val="Знак2,Основной текст1"/>
    <w:basedOn w:val="a"/>
    <w:link w:val="af6"/>
    <w:qFormat/>
    <w:rsid w:val="009B1C13"/>
    <w:pPr>
      <w:jc w:val="center"/>
    </w:pPr>
  </w:style>
  <w:style w:type="character" w:customStyle="1" w:styleId="af6">
    <w:name w:val="Заголовок Знак"/>
    <w:aliases w:val="Знак2 Знак,Основной текст1 Знак"/>
    <w:basedOn w:val="a0"/>
    <w:link w:val="af5"/>
    <w:uiPriority w:val="99"/>
    <w:rsid w:val="009B1C13"/>
    <w:rPr>
      <w:sz w:val="28"/>
    </w:rPr>
  </w:style>
  <w:style w:type="paragraph" w:customStyle="1" w:styleId="af7">
    <w:name w:val="Знак Знак Знак Знак"/>
    <w:basedOn w:val="a"/>
    <w:rsid w:val="00D9455E"/>
    <w:pPr>
      <w:spacing w:after="160" w:line="240" w:lineRule="exact"/>
    </w:pPr>
    <w:rPr>
      <w:rFonts w:ascii="Verdana" w:hAnsi="Verdana"/>
      <w:sz w:val="24"/>
      <w:szCs w:val="24"/>
      <w:lang w:val="en-US" w:eastAsia="en-US"/>
    </w:rPr>
  </w:style>
  <w:style w:type="paragraph" w:customStyle="1" w:styleId="ConsPlusTitle">
    <w:name w:val="ConsPlusTitle"/>
    <w:rsid w:val="00D9455E"/>
    <w:pPr>
      <w:widowControl w:val="0"/>
      <w:autoSpaceDE w:val="0"/>
      <w:autoSpaceDN w:val="0"/>
      <w:adjustRightInd w:val="0"/>
    </w:pPr>
    <w:rPr>
      <w:b/>
      <w:bCs/>
      <w:sz w:val="24"/>
      <w:szCs w:val="24"/>
    </w:rPr>
  </w:style>
  <w:style w:type="paragraph" w:customStyle="1" w:styleId="af8">
    <w:name w:val="Таблицы (моноширинный)"/>
    <w:basedOn w:val="a"/>
    <w:next w:val="a"/>
    <w:rsid w:val="00D9455E"/>
    <w:pPr>
      <w:widowControl w:val="0"/>
      <w:autoSpaceDE w:val="0"/>
      <w:autoSpaceDN w:val="0"/>
      <w:adjustRightInd w:val="0"/>
      <w:jc w:val="both"/>
    </w:pPr>
    <w:rPr>
      <w:rFonts w:ascii="Courier New" w:hAnsi="Courier New" w:cs="Courier New"/>
      <w:sz w:val="24"/>
      <w:szCs w:val="24"/>
    </w:rPr>
  </w:style>
  <w:style w:type="character" w:customStyle="1" w:styleId="af9">
    <w:name w:val="Цветовое выделение"/>
    <w:rsid w:val="00D9455E"/>
    <w:rPr>
      <w:b/>
      <w:bCs/>
      <w:color w:val="000080"/>
    </w:rPr>
  </w:style>
  <w:style w:type="paragraph" w:customStyle="1" w:styleId="afa">
    <w:name w:val="Прижатый влево"/>
    <w:basedOn w:val="a"/>
    <w:next w:val="a"/>
    <w:rsid w:val="00D9455E"/>
    <w:pPr>
      <w:autoSpaceDE w:val="0"/>
      <w:autoSpaceDN w:val="0"/>
      <w:adjustRightInd w:val="0"/>
    </w:pPr>
    <w:rPr>
      <w:rFonts w:ascii="Arial" w:hAnsi="Arial"/>
      <w:sz w:val="24"/>
      <w:szCs w:val="24"/>
    </w:rPr>
  </w:style>
  <w:style w:type="paragraph" w:customStyle="1" w:styleId="Style4">
    <w:name w:val="Style4"/>
    <w:basedOn w:val="a"/>
    <w:rsid w:val="00D9455E"/>
    <w:pPr>
      <w:widowControl w:val="0"/>
      <w:autoSpaceDE w:val="0"/>
      <w:autoSpaceDN w:val="0"/>
      <w:adjustRightInd w:val="0"/>
      <w:spacing w:line="322" w:lineRule="exact"/>
      <w:ind w:firstLine="682"/>
    </w:pPr>
    <w:rPr>
      <w:sz w:val="24"/>
      <w:szCs w:val="24"/>
    </w:rPr>
  </w:style>
  <w:style w:type="character" w:customStyle="1" w:styleId="FontStyle12">
    <w:name w:val="Font Style12"/>
    <w:basedOn w:val="a0"/>
    <w:rsid w:val="00D9455E"/>
    <w:rPr>
      <w:rFonts w:ascii="Times New Roman" w:hAnsi="Times New Roman" w:cs="Times New Roman"/>
      <w:sz w:val="26"/>
      <w:szCs w:val="26"/>
    </w:rPr>
  </w:style>
  <w:style w:type="character" w:customStyle="1" w:styleId="FontStyle15">
    <w:name w:val="Font Style15"/>
    <w:basedOn w:val="a0"/>
    <w:rsid w:val="00D9455E"/>
    <w:rPr>
      <w:rFonts w:ascii="Times New Roman" w:hAnsi="Times New Roman" w:cs="Times New Roman"/>
      <w:sz w:val="14"/>
      <w:szCs w:val="14"/>
    </w:rPr>
  </w:style>
  <w:style w:type="paragraph" w:customStyle="1" w:styleId="afb">
    <w:name w:val="Нормальный (таблица)"/>
    <w:basedOn w:val="a"/>
    <w:next w:val="a"/>
    <w:rsid w:val="00D9455E"/>
    <w:pPr>
      <w:autoSpaceDE w:val="0"/>
      <w:autoSpaceDN w:val="0"/>
      <w:adjustRightInd w:val="0"/>
      <w:jc w:val="both"/>
    </w:pPr>
    <w:rPr>
      <w:rFonts w:ascii="Arial" w:hAnsi="Arial"/>
      <w:sz w:val="24"/>
      <w:szCs w:val="24"/>
    </w:rPr>
  </w:style>
  <w:style w:type="paragraph" w:customStyle="1" w:styleId="Style2">
    <w:name w:val="Style2"/>
    <w:basedOn w:val="a"/>
    <w:rsid w:val="00D9455E"/>
    <w:pPr>
      <w:widowControl w:val="0"/>
      <w:autoSpaceDE w:val="0"/>
      <w:autoSpaceDN w:val="0"/>
      <w:adjustRightInd w:val="0"/>
      <w:spacing w:line="322" w:lineRule="exact"/>
      <w:ind w:firstLine="682"/>
      <w:jc w:val="both"/>
    </w:pPr>
    <w:rPr>
      <w:sz w:val="24"/>
      <w:szCs w:val="24"/>
    </w:rPr>
  </w:style>
  <w:style w:type="paragraph" w:customStyle="1" w:styleId="Style1">
    <w:name w:val="Style1"/>
    <w:basedOn w:val="a"/>
    <w:rsid w:val="00D9455E"/>
    <w:pPr>
      <w:widowControl w:val="0"/>
      <w:autoSpaceDE w:val="0"/>
      <w:autoSpaceDN w:val="0"/>
      <w:adjustRightInd w:val="0"/>
      <w:spacing w:line="325" w:lineRule="exact"/>
    </w:pPr>
    <w:rPr>
      <w:sz w:val="24"/>
      <w:szCs w:val="24"/>
    </w:rPr>
  </w:style>
  <w:style w:type="paragraph" w:customStyle="1" w:styleId="Style3">
    <w:name w:val="Style3"/>
    <w:basedOn w:val="a"/>
    <w:rsid w:val="00D9455E"/>
    <w:pPr>
      <w:widowControl w:val="0"/>
      <w:autoSpaceDE w:val="0"/>
      <w:autoSpaceDN w:val="0"/>
      <w:adjustRightInd w:val="0"/>
      <w:spacing w:line="324" w:lineRule="exact"/>
      <w:ind w:firstLine="706"/>
      <w:jc w:val="both"/>
    </w:pPr>
    <w:rPr>
      <w:sz w:val="24"/>
      <w:szCs w:val="24"/>
    </w:rPr>
  </w:style>
  <w:style w:type="character" w:customStyle="1" w:styleId="FontStyle11">
    <w:name w:val="Font Style11"/>
    <w:basedOn w:val="a0"/>
    <w:rsid w:val="00D9455E"/>
    <w:rPr>
      <w:rFonts w:ascii="Times New Roman" w:hAnsi="Times New Roman" w:cs="Times New Roman"/>
      <w:b/>
      <w:bCs/>
      <w:sz w:val="26"/>
      <w:szCs w:val="26"/>
    </w:rPr>
  </w:style>
  <w:style w:type="paragraph" w:customStyle="1" w:styleId="12">
    <w:name w:val="Знак Знак Знак Знак1"/>
    <w:basedOn w:val="a"/>
    <w:rsid w:val="00D9455E"/>
    <w:pPr>
      <w:spacing w:after="160" w:line="240" w:lineRule="exact"/>
    </w:pPr>
    <w:rPr>
      <w:rFonts w:ascii="Verdana" w:hAnsi="Verdana"/>
      <w:sz w:val="20"/>
      <w:lang w:val="en-US" w:eastAsia="en-US"/>
    </w:rPr>
  </w:style>
  <w:style w:type="paragraph" w:customStyle="1" w:styleId="Default">
    <w:name w:val="Default"/>
    <w:uiPriority w:val="99"/>
    <w:rsid w:val="00D9455E"/>
    <w:pPr>
      <w:autoSpaceDE w:val="0"/>
      <w:autoSpaceDN w:val="0"/>
      <w:adjustRightInd w:val="0"/>
    </w:pPr>
    <w:rPr>
      <w:color w:val="000000"/>
      <w:sz w:val="24"/>
      <w:szCs w:val="24"/>
    </w:rPr>
  </w:style>
  <w:style w:type="paragraph" w:customStyle="1" w:styleId="afc">
    <w:name w:val="Знак Знак Знак Знак"/>
    <w:basedOn w:val="a"/>
    <w:rsid w:val="00D9455E"/>
    <w:pPr>
      <w:spacing w:after="160" w:line="240" w:lineRule="exact"/>
    </w:pPr>
    <w:rPr>
      <w:rFonts w:ascii="Verdana" w:hAnsi="Verdana" w:cs="Verdana"/>
      <w:sz w:val="24"/>
      <w:szCs w:val="24"/>
      <w:lang w:val="en-US" w:eastAsia="en-US"/>
    </w:rPr>
  </w:style>
  <w:style w:type="paragraph" w:customStyle="1" w:styleId="Standard">
    <w:name w:val="Standard"/>
    <w:rsid w:val="00700530"/>
    <w:pPr>
      <w:suppressAutoHyphens/>
      <w:autoSpaceDN w:val="0"/>
      <w:textAlignment w:val="baseline"/>
    </w:pPr>
    <w:rPr>
      <w:kern w:val="3"/>
      <w:sz w:val="24"/>
      <w:szCs w:val="24"/>
    </w:rPr>
  </w:style>
  <w:style w:type="character" w:customStyle="1" w:styleId="20">
    <w:name w:val="Заголовок 2 Знак"/>
    <w:basedOn w:val="a0"/>
    <w:link w:val="2"/>
    <w:rsid w:val="002F7757"/>
    <w:rPr>
      <w:rFonts w:ascii="Cambria" w:eastAsia="Times New Roman" w:hAnsi="Cambria" w:cs="Times New Roman"/>
      <w:b/>
      <w:bCs/>
      <w:i/>
      <w:iCs/>
      <w:sz w:val="28"/>
      <w:szCs w:val="28"/>
    </w:rPr>
  </w:style>
  <w:style w:type="character" w:customStyle="1" w:styleId="afd">
    <w:name w:val="Основной текст_"/>
    <w:basedOn w:val="a0"/>
    <w:rsid w:val="003A3637"/>
    <w:rPr>
      <w:rFonts w:ascii="Times New Roman" w:eastAsia="Times New Roman" w:hAnsi="Times New Roman"/>
      <w:sz w:val="27"/>
      <w:szCs w:val="27"/>
      <w:shd w:val="clear" w:color="auto" w:fill="FFFFFF"/>
    </w:rPr>
  </w:style>
  <w:style w:type="character" w:customStyle="1" w:styleId="Bodytext">
    <w:name w:val="Body text_"/>
    <w:basedOn w:val="a0"/>
    <w:link w:val="28"/>
    <w:rsid w:val="003A3637"/>
    <w:rPr>
      <w:rFonts w:ascii="Arial" w:eastAsia="Arial" w:hAnsi="Arial" w:cs="Arial"/>
      <w:sz w:val="15"/>
      <w:szCs w:val="15"/>
      <w:shd w:val="clear" w:color="auto" w:fill="FFFFFF"/>
    </w:rPr>
  </w:style>
  <w:style w:type="paragraph" w:customStyle="1" w:styleId="28">
    <w:name w:val="Основной текст2"/>
    <w:basedOn w:val="a"/>
    <w:link w:val="Bodytext"/>
    <w:rsid w:val="003A3637"/>
    <w:pPr>
      <w:shd w:val="clear" w:color="auto" w:fill="FFFFFF"/>
      <w:spacing w:line="278" w:lineRule="exact"/>
      <w:jc w:val="center"/>
    </w:pPr>
    <w:rPr>
      <w:rFonts w:ascii="Arial" w:eastAsia="Arial" w:hAnsi="Arial" w:cs="Arial"/>
      <w:sz w:val="15"/>
      <w:szCs w:val="15"/>
    </w:rPr>
  </w:style>
  <w:style w:type="character" w:customStyle="1" w:styleId="Bodytext2">
    <w:name w:val="Body text (2)_"/>
    <w:basedOn w:val="a0"/>
    <w:link w:val="Bodytext20"/>
    <w:locked/>
    <w:rsid w:val="00297257"/>
    <w:rPr>
      <w:i/>
      <w:iCs/>
      <w:sz w:val="26"/>
      <w:szCs w:val="26"/>
      <w:shd w:val="clear" w:color="auto" w:fill="FFFFFF"/>
    </w:rPr>
  </w:style>
  <w:style w:type="paragraph" w:customStyle="1" w:styleId="Bodytext20">
    <w:name w:val="Body text (2)"/>
    <w:basedOn w:val="a"/>
    <w:link w:val="Bodytext2"/>
    <w:rsid w:val="00297257"/>
    <w:pPr>
      <w:shd w:val="clear" w:color="auto" w:fill="FFFFFF"/>
      <w:spacing w:before="720" w:line="312" w:lineRule="exact"/>
      <w:ind w:firstLine="540"/>
      <w:jc w:val="both"/>
    </w:pPr>
    <w:rPr>
      <w:i/>
      <w:iCs/>
      <w:sz w:val="26"/>
      <w:szCs w:val="26"/>
    </w:rPr>
  </w:style>
  <w:style w:type="character" w:customStyle="1" w:styleId="apple-converted-space">
    <w:name w:val="apple-converted-space"/>
    <w:basedOn w:val="a0"/>
    <w:rsid w:val="00205F28"/>
  </w:style>
  <w:style w:type="character" w:customStyle="1" w:styleId="a6">
    <w:name w:val="Нижний колонтитул Знак"/>
    <w:basedOn w:val="a0"/>
    <w:link w:val="a5"/>
    <w:rsid w:val="00A52F4E"/>
    <w:rPr>
      <w:sz w:val="28"/>
    </w:rPr>
  </w:style>
  <w:style w:type="paragraph" w:styleId="afe">
    <w:name w:val="Normal (Web)"/>
    <w:basedOn w:val="a"/>
    <w:uiPriority w:val="99"/>
    <w:unhideWhenUsed/>
    <w:rsid w:val="00762E9C"/>
    <w:pPr>
      <w:spacing w:before="100" w:beforeAutospacing="1" w:after="100" w:afterAutospacing="1"/>
    </w:pPr>
    <w:rPr>
      <w:sz w:val="24"/>
      <w:szCs w:val="24"/>
    </w:rPr>
  </w:style>
  <w:style w:type="paragraph" w:customStyle="1" w:styleId="rtejustify">
    <w:name w:val="rtejustify"/>
    <w:basedOn w:val="a"/>
    <w:rsid w:val="00762E9C"/>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CF2D13"/>
    <w:rPr>
      <w:b/>
      <w:sz w:val="28"/>
    </w:rPr>
  </w:style>
  <w:style w:type="paragraph" w:styleId="aff">
    <w:name w:val="Document Map"/>
    <w:basedOn w:val="a"/>
    <w:link w:val="aff0"/>
    <w:rsid w:val="000121B7"/>
    <w:rPr>
      <w:rFonts w:ascii="Tahoma" w:hAnsi="Tahoma" w:cs="Tahoma"/>
      <w:sz w:val="16"/>
      <w:szCs w:val="16"/>
    </w:rPr>
  </w:style>
  <w:style w:type="character" w:customStyle="1" w:styleId="aff0">
    <w:name w:val="Схема документа Знак"/>
    <w:basedOn w:val="a0"/>
    <w:link w:val="aff"/>
    <w:rsid w:val="000121B7"/>
    <w:rPr>
      <w:rFonts w:ascii="Tahoma" w:hAnsi="Tahoma" w:cs="Tahoma"/>
      <w:sz w:val="16"/>
      <w:szCs w:val="16"/>
    </w:rPr>
  </w:style>
  <w:style w:type="character" w:customStyle="1" w:styleId="23">
    <w:name w:val="Основной текст с отступом 2 Знак"/>
    <w:basedOn w:val="a0"/>
    <w:link w:val="22"/>
    <w:rsid w:val="00034305"/>
    <w:rPr>
      <w:sz w:val="28"/>
    </w:rPr>
  </w:style>
  <w:style w:type="paragraph" w:styleId="aff1">
    <w:name w:val="No Spacing"/>
    <w:uiPriority w:val="1"/>
    <w:qFormat/>
    <w:rsid w:val="00E3072D"/>
    <w:rPr>
      <w:rFonts w:ascii="Calibri" w:hAnsi="Calibri"/>
      <w:sz w:val="22"/>
      <w:szCs w:val="22"/>
    </w:rPr>
  </w:style>
  <w:style w:type="character" w:styleId="aff2">
    <w:name w:val="Emphasis"/>
    <w:basedOn w:val="a0"/>
    <w:uiPriority w:val="20"/>
    <w:qFormat/>
    <w:rsid w:val="00E3072D"/>
    <w:rPr>
      <w:i/>
      <w:iCs/>
    </w:rPr>
  </w:style>
  <w:style w:type="character" w:styleId="aff3">
    <w:name w:val="Hyperlink"/>
    <w:basedOn w:val="a0"/>
    <w:rsid w:val="00E3072D"/>
    <w:rPr>
      <w:color w:val="0000FF"/>
      <w:u w:val="single"/>
    </w:rPr>
  </w:style>
  <w:style w:type="character" w:customStyle="1" w:styleId="pt-a1-000007">
    <w:name w:val="pt-a1-000007"/>
    <w:basedOn w:val="a0"/>
    <w:rsid w:val="00DD0BB8"/>
  </w:style>
  <w:style w:type="character" w:customStyle="1" w:styleId="pt-a1-000095">
    <w:name w:val="pt-a1-000095"/>
    <w:basedOn w:val="a0"/>
    <w:rsid w:val="00DD0BB8"/>
  </w:style>
  <w:style w:type="character" w:customStyle="1" w:styleId="70">
    <w:name w:val="Заголовок 7 Знак"/>
    <w:basedOn w:val="a0"/>
    <w:link w:val="7"/>
    <w:uiPriority w:val="99"/>
    <w:rsid w:val="004E5747"/>
    <w:rPr>
      <w:sz w:val="24"/>
      <w:szCs w:val="24"/>
    </w:rPr>
  </w:style>
  <w:style w:type="character" w:customStyle="1" w:styleId="csfc2ac2711">
    <w:name w:val="csfc2ac2711"/>
    <w:basedOn w:val="a0"/>
    <w:rsid w:val="00977462"/>
    <w:rPr>
      <w:rFonts w:ascii="Calibri" w:hAnsi="Calibri" w:hint="default"/>
      <w:b w:val="0"/>
      <w:bCs w:val="0"/>
      <w:i w:val="0"/>
      <w:iCs w:val="0"/>
      <w:color w:val="000000"/>
      <w:sz w:val="28"/>
      <w:szCs w:val="28"/>
      <w:shd w:val="clear" w:color="auto" w:fill="auto"/>
    </w:rPr>
  </w:style>
  <w:style w:type="paragraph" w:customStyle="1" w:styleId="cseeade915">
    <w:name w:val="cseeade915"/>
    <w:basedOn w:val="a"/>
    <w:rsid w:val="00180740"/>
    <w:pPr>
      <w:ind w:firstLine="700"/>
      <w:jc w:val="both"/>
    </w:pPr>
    <w:rPr>
      <w:rFonts w:eastAsiaTheme="minorEastAsia"/>
      <w:sz w:val="24"/>
      <w:szCs w:val="24"/>
    </w:rPr>
  </w:style>
  <w:style w:type="paragraph" w:customStyle="1" w:styleId="cs431cfc89">
    <w:name w:val="cs431cfc89"/>
    <w:basedOn w:val="a"/>
    <w:rsid w:val="00180740"/>
    <w:pPr>
      <w:ind w:left="360" w:firstLine="860"/>
      <w:jc w:val="both"/>
    </w:pPr>
    <w:rPr>
      <w:rFonts w:eastAsiaTheme="minorEastAsia"/>
      <w:sz w:val="24"/>
      <w:szCs w:val="24"/>
    </w:rPr>
  </w:style>
  <w:style w:type="character" w:customStyle="1" w:styleId="cs83f1fff41">
    <w:name w:val="cs83f1fff41"/>
    <w:basedOn w:val="a0"/>
    <w:rsid w:val="00180740"/>
    <w:rPr>
      <w:rFonts w:ascii="Calibri" w:hAnsi="Calibri" w:hint="default"/>
      <w:b w:val="0"/>
      <w:bCs w:val="0"/>
      <w:i/>
      <w:iCs/>
      <w:color w:val="000000"/>
      <w:sz w:val="28"/>
      <w:szCs w:val="28"/>
      <w:shd w:val="clear" w:color="auto" w:fill="auto"/>
    </w:rPr>
  </w:style>
  <w:style w:type="paragraph" w:customStyle="1" w:styleId="cs2a4a7cb2">
    <w:name w:val="cs2a4a7cb2"/>
    <w:basedOn w:val="a"/>
    <w:rsid w:val="008D50F6"/>
    <w:pPr>
      <w:jc w:val="center"/>
    </w:pPr>
    <w:rPr>
      <w:rFonts w:eastAsiaTheme="minorEastAsia"/>
      <w:sz w:val="24"/>
      <w:szCs w:val="24"/>
    </w:rPr>
  </w:style>
  <w:style w:type="paragraph" w:customStyle="1" w:styleId="csdfd3e385">
    <w:name w:val="csdfd3e385"/>
    <w:basedOn w:val="a"/>
    <w:rsid w:val="008D50F6"/>
    <w:pPr>
      <w:ind w:firstLine="560"/>
      <w:jc w:val="both"/>
    </w:pPr>
    <w:rPr>
      <w:rFonts w:eastAsiaTheme="minorEastAsia"/>
      <w:sz w:val="24"/>
      <w:szCs w:val="24"/>
    </w:rPr>
  </w:style>
  <w:style w:type="character" w:customStyle="1" w:styleId="cse110c9601">
    <w:name w:val="cse110c9601"/>
    <w:basedOn w:val="a0"/>
    <w:rsid w:val="008D50F6"/>
    <w:rPr>
      <w:rFonts w:ascii="Calibri" w:hAnsi="Calibri" w:hint="default"/>
      <w:b/>
      <w:bCs/>
      <w:i/>
      <w:iCs/>
      <w:color w:val="000000"/>
      <w:sz w:val="28"/>
      <w:szCs w:val="28"/>
      <w:shd w:val="clear" w:color="auto" w:fill="auto"/>
    </w:rPr>
  </w:style>
  <w:style w:type="paragraph" w:customStyle="1" w:styleId="csbe39236c">
    <w:name w:val="csbe39236c"/>
    <w:basedOn w:val="a"/>
    <w:rsid w:val="002D00C2"/>
    <w:pPr>
      <w:ind w:firstLine="700"/>
      <w:jc w:val="center"/>
    </w:pPr>
    <w:rPr>
      <w:rFonts w:eastAsiaTheme="minorEastAsia"/>
      <w:sz w:val="24"/>
      <w:szCs w:val="24"/>
    </w:rPr>
  </w:style>
  <w:style w:type="paragraph" w:customStyle="1" w:styleId="Textbody">
    <w:name w:val="Text body"/>
    <w:basedOn w:val="Standard"/>
    <w:rsid w:val="006149ED"/>
    <w:pPr>
      <w:spacing w:after="120"/>
    </w:pPr>
  </w:style>
  <w:style w:type="character" w:customStyle="1" w:styleId="cs9a1626b01">
    <w:name w:val="cs9a1626b01"/>
    <w:basedOn w:val="a0"/>
    <w:rsid w:val="00B40C8F"/>
    <w:rPr>
      <w:rFonts w:ascii="Calibri" w:hAnsi="Calibri" w:hint="default"/>
      <w:b/>
      <w:bCs/>
      <w:i/>
      <w:iCs/>
      <w:color w:val="FF0000"/>
      <w:sz w:val="28"/>
      <w:szCs w:val="28"/>
      <w:shd w:val="clear" w:color="auto" w:fill="auto"/>
    </w:rPr>
  </w:style>
  <w:style w:type="character" w:customStyle="1" w:styleId="csaf99984b1">
    <w:name w:val="csaf99984b1"/>
    <w:basedOn w:val="a0"/>
    <w:rsid w:val="00B40C8F"/>
    <w:rPr>
      <w:rFonts w:ascii="Calibri" w:hAnsi="Calibri" w:hint="default"/>
      <w:b/>
      <w:bCs/>
      <w:i w:val="0"/>
      <w:iCs w:val="0"/>
      <w:color w:val="000000"/>
      <w:sz w:val="28"/>
      <w:szCs w:val="28"/>
      <w:shd w:val="clear" w:color="auto" w:fill="auto"/>
    </w:rPr>
  </w:style>
  <w:style w:type="character" w:customStyle="1" w:styleId="cs8bb7f8ed1">
    <w:name w:val="cs8bb7f8ed1"/>
    <w:basedOn w:val="a0"/>
    <w:rsid w:val="00B40C8F"/>
    <w:rPr>
      <w:rFonts w:ascii="Calibri" w:hAnsi="Calibri" w:hint="default"/>
      <w:b w:val="0"/>
      <w:bCs w:val="0"/>
      <w:i w:val="0"/>
      <w:iCs w:val="0"/>
      <w:color w:val="FF0000"/>
      <w:sz w:val="28"/>
      <w:szCs w:val="28"/>
      <w:shd w:val="clear" w:color="auto" w:fill="auto"/>
    </w:rPr>
  </w:style>
  <w:style w:type="paragraph" w:customStyle="1" w:styleId="ConsPlusDocList">
    <w:name w:val="ConsPlusDocList"/>
    <w:rsid w:val="00AB51AB"/>
    <w:pPr>
      <w:widowControl w:val="0"/>
      <w:autoSpaceDE w:val="0"/>
      <w:autoSpaceDN w:val="0"/>
    </w:pPr>
    <w:rPr>
      <w:rFonts w:ascii="Calibri" w:hAnsi="Calibri" w:cs="Calibri"/>
      <w:sz w:val="22"/>
    </w:rPr>
  </w:style>
  <w:style w:type="paragraph" w:customStyle="1" w:styleId="ConsPlusTitlePage">
    <w:name w:val="ConsPlusTitlePage"/>
    <w:rsid w:val="00AB51AB"/>
    <w:pPr>
      <w:widowControl w:val="0"/>
      <w:autoSpaceDE w:val="0"/>
      <w:autoSpaceDN w:val="0"/>
    </w:pPr>
    <w:rPr>
      <w:rFonts w:ascii="Tahoma" w:hAnsi="Tahoma" w:cs="Tahoma"/>
    </w:rPr>
  </w:style>
  <w:style w:type="paragraph" w:customStyle="1" w:styleId="ConsPlusJurTerm">
    <w:name w:val="ConsPlusJurTerm"/>
    <w:rsid w:val="00AB51AB"/>
    <w:pPr>
      <w:widowControl w:val="0"/>
      <w:autoSpaceDE w:val="0"/>
      <w:autoSpaceDN w:val="0"/>
    </w:pPr>
    <w:rPr>
      <w:rFonts w:ascii="Tahoma" w:hAnsi="Tahoma" w:cs="Tahoma"/>
      <w:sz w:val="26"/>
    </w:rPr>
  </w:style>
  <w:style w:type="paragraph" w:customStyle="1" w:styleId="ConsPlusTextList">
    <w:name w:val="ConsPlusTextList"/>
    <w:rsid w:val="00AB51A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024">
      <w:bodyDiv w:val="1"/>
      <w:marLeft w:val="0"/>
      <w:marRight w:val="0"/>
      <w:marTop w:val="0"/>
      <w:marBottom w:val="0"/>
      <w:divBdr>
        <w:top w:val="none" w:sz="0" w:space="0" w:color="auto"/>
        <w:left w:val="none" w:sz="0" w:space="0" w:color="auto"/>
        <w:bottom w:val="none" w:sz="0" w:space="0" w:color="auto"/>
        <w:right w:val="none" w:sz="0" w:space="0" w:color="auto"/>
      </w:divBdr>
    </w:div>
    <w:div w:id="175467155">
      <w:bodyDiv w:val="1"/>
      <w:marLeft w:val="0"/>
      <w:marRight w:val="0"/>
      <w:marTop w:val="0"/>
      <w:marBottom w:val="0"/>
      <w:divBdr>
        <w:top w:val="none" w:sz="0" w:space="0" w:color="auto"/>
        <w:left w:val="none" w:sz="0" w:space="0" w:color="auto"/>
        <w:bottom w:val="none" w:sz="0" w:space="0" w:color="auto"/>
        <w:right w:val="none" w:sz="0" w:space="0" w:color="auto"/>
      </w:divBdr>
    </w:div>
    <w:div w:id="213585692">
      <w:bodyDiv w:val="1"/>
      <w:marLeft w:val="0"/>
      <w:marRight w:val="0"/>
      <w:marTop w:val="0"/>
      <w:marBottom w:val="0"/>
      <w:divBdr>
        <w:top w:val="none" w:sz="0" w:space="0" w:color="auto"/>
        <w:left w:val="none" w:sz="0" w:space="0" w:color="auto"/>
        <w:bottom w:val="none" w:sz="0" w:space="0" w:color="auto"/>
        <w:right w:val="none" w:sz="0" w:space="0" w:color="auto"/>
      </w:divBdr>
    </w:div>
    <w:div w:id="264773619">
      <w:bodyDiv w:val="1"/>
      <w:marLeft w:val="0"/>
      <w:marRight w:val="0"/>
      <w:marTop w:val="0"/>
      <w:marBottom w:val="0"/>
      <w:divBdr>
        <w:top w:val="none" w:sz="0" w:space="0" w:color="auto"/>
        <w:left w:val="none" w:sz="0" w:space="0" w:color="auto"/>
        <w:bottom w:val="none" w:sz="0" w:space="0" w:color="auto"/>
        <w:right w:val="none" w:sz="0" w:space="0" w:color="auto"/>
      </w:divBdr>
    </w:div>
    <w:div w:id="284316001">
      <w:bodyDiv w:val="1"/>
      <w:marLeft w:val="0"/>
      <w:marRight w:val="0"/>
      <w:marTop w:val="0"/>
      <w:marBottom w:val="0"/>
      <w:divBdr>
        <w:top w:val="none" w:sz="0" w:space="0" w:color="auto"/>
        <w:left w:val="none" w:sz="0" w:space="0" w:color="auto"/>
        <w:bottom w:val="none" w:sz="0" w:space="0" w:color="auto"/>
        <w:right w:val="none" w:sz="0" w:space="0" w:color="auto"/>
      </w:divBdr>
    </w:div>
    <w:div w:id="618417171">
      <w:bodyDiv w:val="1"/>
      <w:marLeft w:val="0"/>
      <w:marRight w:val="0"/>
      <w:marTop w:val="0"/>
      <w:marBottom w:val="0"/>
      <w:divBdr>
        <w:top w:val="none" w:sz="0" w:space="0" w:color="auto"/>
        <w:left w:val="none" w:sz="0" w:space="0" w:color="auto"/>
        <w:bottom w:val="none" w:sz="0" w:space="0" w:color="auto"/>
        <w:right w:val="none" w:sz="0" w:space="0" w:color="auto"/>
      </w:divBdr>
    </w:div>
    <w:div w:id="663171385">
      <w:bodyDiv w:val="1"/>
      <w:marLeft w:val="0"/>
      <w:marRight w:val="0"/>
      <w:marTop w:val="0"/>
      <w:marBottom w:val="0"/>
      <w:divBdr>
        <w:top w:val="none" w:sz="0" w:space="0" w:color="auto"/>
        <w:left w:val="none" w:sz="0" w:space="0" w:color="auto"/>
        <w:bottom w:val="none" w:sz="0" w:space="0" w:color="auto"/>
        <w:right w:val="none" w:sz="0" w:space="0" w:color="auto"/>
      </w:divBdr>
    </w:div>
    <w:div w:id="897400653">
      <w:bodyDiv w:val="1"/>
      <w:marLeft w:val="0"/>
      <w:marRight w:val="0"/>
      <w:marTop w:val="0"/>
      <w:marBottom w:val="0"/>
      <w:divBdr>
        <w:top w:val="none" w:sz="0" w:space="0" w:color="auto"/>
        <w:left w:val="none" w:sz="0" w:space="0" w:color="auto"/>
        <w:bottom w:val="none" w:sz="0" w:space="0" w:color="auto"/>
        <w:right w:val="none" w:sz="0" w:space="0" w:color="auto"/>
      </w:divBdr>
    </w:div>
    <w:div w:id="991369775">
      <w:bodyDiv w:val="1"/>
      <w:marLeft w:val="0"/>
      <w:marRight w:val="0"/>
      <w:marTop w:val="0"/>
      <w:marBottom w:val="0"/>
      <w:divBdr>
        <w:top w:val="none" w:sz="0" w:space="0" w:color="auto"/>
        <w:left w:val="none" w:sz="0" w:space="0" w:color="auto"/>
        <w:bottom w:val="none" w:sz="0" w:space="0" w:color="auto"/>
        <w:right w:val="none" w:sz="0" w:space="0" w:color="auto"/>
      </w:divBdr>
    </w:div>
    <w:div w:id="1042898809">
      <w:bodyDiv w:val="1"/>
      <w:marLeft w:val="0"/>
      <w:marRight w:val="0"/>
      <w:marTop w:val="0"/>
      <w:marBottom w:val="0"/>
      <w:divBdr>
        <w:top w:val="none" w:sz="0" w:space="0" w:color="auto"/>
        <w:left w:val="none" w:sz="0" w:space="0" w:color="auto"/>
        <w:bottom w:val="none" w:sz="0" w:space="0" w:color="auto"/>
        <w:right w:val="none" w:sz="0" w:space="0" w:color="auto"/>
      </w:divBdr>
    </w:div>
    <w:div w:id="1053506182">
      <w:bodyDiv w:val="1"/>
      <w:marLeft w:val="0"/>
      <w:marRight w:val="0"/>
      <w:marTop w:val="0"/>
      <w:marBottom w:val="0"/>
      <w:divBdr>
        <w:top w:val="none" w:sz="0" w:space="0" w:color="auto"/>
        <w:left w:val="none" w:sz="0" w:space="0" w:color="auto"/>
        <w:bottom w:val="none" w:sz="0" w:space="0" w:color="auto"/>
        <w:right w:val="none" w:sz="0" w:space="0" w:color="auto"/>
      </w:divBdr>
    </w:div>
    <w:div w:id="1230075815">
      <w:bodyDiv w:val="1"/>
      <w:marLeft w:val="0"/>
      <w:marRight w:val="0"/>
      <w:marTop w:val="0"/>
      <w:marBottom w:val="0"/>
      <w:divBdr>
        <w:top w:val="none" w:sz="0" w:space="0" w:color="auto"/>
        <w:left w:val="none" w:sz="0" w:space="0" w:color="auto"/>
        <w:bottom w:val="none" w:sz="0" w:space="0" w:color="auto"/>
        <w:right w:val="none" w:sz="0" w:space="0" w:color="auto"/>
      </w:divBdr>
    </w:div>
    <w:div w:id="1291862196">
      <w:bodyDiv w:val="1"/>
      <w:marLeft w:val="0"/>
      <w:marRight w:val="0"/>
      <w:marTop w:val="0"/>
      <w:marBottom w:val="0"/>
      <w:divBdr>
        <w:top w:val="none" w:sz="0" w:space="0" w:color="auto"/>
        <w:left w:val="none" w:sz="0" w:space="0" w:color="auto"/>
        <w:bottom w:val="none" w:sz="0" w:space="0" w:color="auto"/>
        <w:right w:val="none" w:sz="0" w:space="0" w:color="auto"/>
      </w:divBdr>
    </w:div>
    <w:div w:id="1311013481">
      <w:bodyDiv w:val="1"/>
      <w:marLeft w:val="0"/>
      <w:marRight w:val="0"/>
      <w:marTop w:val="0"/>
      <w:marBottom w:val="0"/>
      <w:divBdr>
        <w:top w:val="none" w:sz="0" w:space="0" w:color="auto"/>
        <w:left w:val="none" w:sz="0" w:space="0" w:color="auto"/>
        <w:bottom w:val="none" w:sz="0" w:space="0" w:color="auto"/>
        <w:right w:val="none" w:sz="0" w:space="0" w:color="auto"/>
      </w:divBdr>
    </w:div>
    <w:div w:id="1396393022">
      <w:bodyDiv w:val="1"/>
      <w:marLeft w:val="0"/>
      <w:marRight w:val="0"/>
      <w:marTop w:val="0"/>
      <w:marBottom w:val="0"/>
      <w:divBdr>
        <w:top w:val="none" w:sz="0" w:space="0" w:color="auto"/>
        <w:left w:val="none" w:sz="0" w:space="0" w:color="auto"/>
        <w:bottom w:val="none" w:sz="0" w:space="0" w:color="auto"/>
        <w:right w:val="none" w:sz="0" w:space="0" w:color="auto"/>
      </w:divBdr>
    </w:div>
    <w:div w:id="1457093472">
      <w:bodyDiv w:val="1"/>
      <w:marLeft w:val="0"/>
      <w:marRight w:val="0"/>
      <w:marTop w:val="0"/>
      <w:marBottom w:val="0"/>
      <w:divBdr>
        <w:top w:val="none" w:sz="0" w:space="0" w:color="auto"/>
        <w:left w:val="none" w:sz="0" w:space="0" w:color="auto"/>
        <w:bottom w:val="none" w:sz="0" w:space="0" w:color="auto"/>
        <w:right w:val="none" w:sz="0" w:space="0" w:color="auto"/>
      </w:divBdr>
    </w:div>
    <w:div w:id="1642422915">
      <w:bodyDiv w:val="1"/>
      <w:marLeft w:val="0"/>
      <w:marRight w:val="0"/>
      <w:marTop w:val="0"/>
      <w:marBottom w:val="0"/>
      <w:divBdr>
        <w:top w:val="none" w:sz="0" w:space="0" w:color="auto"/>
        <w:left w:val="none" w:sz="0" w:space="0" w:color="auto"/>
        <w:bottom w:val="none" w:sz="0" w:space="0" w:color="auto"/>
        <w:right w:val="none" w:sz="0" w:space="0" w:color="auto"/>
      </w:divBdr>
    </w:div>
    <w:div w:id="1993948881">
      <w:bodyDiv w:val="1"/>
      <w:marLeft w:val="0"/>
      <w:marRight w:val="0"/>
      <w:marTop w:val="0"/>
      <w:marBottom w:val="0"/>
      <w:divBdr>
        <w:top w:val="none" w:sz="0" w:space="0" w:color="auto"/>
        <w:left w:val="none" w:sz="0" w:space="0" w:color="auto"/>
        <w:bottom w:val="none" w:sz="0" w:space="0" w:color="auto"/>
        <w:right w:val="none" w:sz="0" w:space="0" w:color="auto"/>
      </w:divBdr>
    </w:div>
    <w:div w:id="20651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A8D69105CD9E20924F6B539DE609A7A9166D674B2A24502DF22RBp0F" TargetMode="External"/><Relationship Id="rId13" Type="http://schemas.openxmlformats.org/officeDocument/2006/relationships/hyperlink" Target="consultantplus://offline/ref=BB2B5CD6A6DA7F4E1CDB8D8EA856A6F81B1C8D31A67560D153E3B66D240015C9B0B5F4A289C97F1318F978D683RE79D" TargetMode="External"/><Relationship Id="rId18" Type="http://schemas.openxmlformats.org/officeDocument/2006/relationships/hyperlink" Target="consultantplus://offline/ref=BB2B5CD6A6DA7F4E1CDB8D8EA856A6F81B1C8D31A67560D153E3B66D240015C9B0B5F4A289C97F1318F978D683RE79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B2B5CD6A6DA7F4E1CDB8D8EA856A6F818178F33A27B60D153E3B66D240015C9B0B5F4A289C97F1318F978D683RE79D" TargetMode="External"/><Relationship Id="rId17" Type="http://schemas.openxmlformats.org/officeDocument/2006/relationships/hyperlink" Target="consultantplus://offline/ref=BB2B5CD6A6DA7F4E1CDB8D8EA856A6F818178F33A27B60D153E3B66D240015C9B0B5F4A289C97F1318F978D683RE79D" TargetMode="External"/><Relationship Id="rId2" Type="http://schemas.openxmlformats.org/officeDocument/2006/relationships/numbering" Target="numbering.xml"/><Relationship Id="rId16" Type="http://schemas.openxmlformats.org/officeDocument/2006/relationships/hyperlink" Target="consultantplus://offline/ref=BB2B5CD6A6DA7F4E1CDB8D8EA856A6F818168635A77B60D153E3B66D240015C9B0B5F4A289C97F1318F978D683RE79D" TargetMode="External"/><Relationship Id="rId20" Type="http://schemas.openxmlformats.org/officeDocument/2006/relationships/hyperlink" Target="consultantplus://offline/ref=5D248CB795ECD02DDC9AC5165CC79CB8D30061FE80892ABAE90C1680FBF5FD403C40DFD747E54BC88AB2EE8B24B9D328F17D3DBA95EEd7d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2B5CD6A6DA7F4E1CDB8D8EA856A6F818168635A77B60D153E3B66D240015C9B0B5F4A289C97F1318F978D683RE79D" TargetMode="External"/><Relationship Id="rId5" Type="http://schemas.openxmlformats.org/officeDocument/2006/relationships/webSettings" Target="webSettings.xml"/><Relationship Id="rId15" Type="http://schemas.openxmlformats.org/officeDocument/2006/relationships/hyperlink" Target="consultantplus://offline/ref=BB2B5CD6A6DA7F4E1CDB8D8EA856A6F818168635A77960D153E3B66D240015C9B0B5F4A289C97F1318F978D683RE79D" TargetMode="External"/><Relationship Id="rId10" Type="http://schemas.openxmlformats.org/officeDocument/2006/relationships/hyperlink" Target="consultantplus://offline/ref=BB2B5CD6A6DA7F4E1CDB8D8EA856A6F818168635A77960D153E3B66D240015C9B0B5F4A289C97F1318F978D683RE79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F7A8D69105CD9E20924E8B82FB237967E923FDE7EE1FA1507D577E849D0E1D2RAp9F" TargetMode="External"/><Relationship Id="rId14" Type="http://schemas.openxmlformats.org/officeDocument/2006/relationships/hyperlink" Target="consultantplus://offline/ref=9508396E79F7A1D75A98019CD3B6ACB8F1E4906928E70F3CD8C58DC3FDD8EACA67346A1B3CEA478296B171kDb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91;&#1084;&#1086;&#1074;&#1072;\&#1041;&#1083;&#1072;&#1085;&#1082;%20&#1052;&#1080;&#1085;&#1092;&#1080;&#1085;&#1072;%20&#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0E828A-0D8B-4ED5-BDAF-6E4A3B2F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Минфина РА</Template>
  <TotalTime>1255</TotalTime>
  <Pages>26</Pages>
  <Words>8355</Words>
  <Characters>56335</Characters>
  <Application>Microsoft Office Word</Application>
  <DocSecurity>0</DocSecurity>
  <Lines>469</Lines>
  <Paragraphs>129</Paragraphs>
  <ScaleCrop>false</ScaleCrop>
  <HeadingPairs>
    <vt:vector size="2" baseType="variant">
      <vt:variant>
        <vt:lpstr>Название</vt:lpstr>
      </vt:variant>
      <vt:variant>
        <vt:i4>1</vt:i4>
      </vt:variant>
    </vt:vector>
  </HeadingPairs>
  <TitlesOfParts>
    <vt:vector size="1" baseType="lpstr">
      <vt:lpstr>___________№____________</vt:lpstr>
    </vt:vector>
  </TitlesOfParts>
  <Company>Minfin RA</Company>
  <LinksUpToDate>false</LinksUpToDate>
  <CharactersWithSpaces>64561</CharactersWithSpaces>
  <SharedDoc>false</SharedDoc>
  <HLinks>
    <vt:vector size="18" baseType="variant">
      <vt:variant>
        <vt:i4>786521</vt:i4>
      </vt:variant>
      <vt:variant>
        <vt:i4>6</vt:i4>
      </vt:variant>
      <vt:variant>
        <vt:i4>0</vt:i4>
      </vt:variant>
      <vt:variant>
        <vt:i4>5</vt:i4>
      </vt:variant>
      <vt:variant>
        <vt:lpwstr>consultantplus://offline/ref=3FC60682B365F27F5CD5DC9DACD8522D059286FB9CDDD6588A30D0F7CE2E01CC2858DB484383550F30CD22h5RFM</vt:lpwstr>
      </vt:variant>
      <vt:variant>
        <vt:lpwstr/>
      </vt:variant>
      <vt:variant>
        <vt:i4>2883632</vt:i4>
      </vt:variant>
      <vt:variant>
        <vt:i4>3</vt:i4>
      </vt:variant>
      <vt:variant>
        <vt:i4>0</vt:i4>
      </vt:variant>
      <vt:variant>
        <vt:i4>5</vt:i4>
      </vt:variant>
      <vt:variant>
        <vt:lpwstr>consultantplus://offline/ref=DF7A8D69105CD9E20924E8B82FB237967E923FDE7EE1FA1507D577E849D0E1D2RAp9F</vt:lpwstr>
      </vt:variant>
      <vt:variant>
        <vt:lpwstr/>
      </vt:variant>
      <vt:variant>
        <vt:i4>1835013</vt:i4>
      </vt:variant>
      <vt:variant>
        <vt:i4>0</vt:i4>
      </vt:variant>
      <vt:variant>
        <vt:i4>0</vt:i4>
      </vt:variant>
      <vt:variant>
        <vt:i4>5</vt:i4>
      </vt:variant>
      <vt:variant>
        <vt:lpwstr>consultantplus://offline/ref=DF7A8D69105CD9E20924F6B539DE609A7A9166D674B2A24502DF22RBp0F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Shumova</dc:creator>
  <cp:lastModifiedBy>Мартынова</cp:lastModifiedBy>
  <cp:revision>39</cp:revision>
  <cp:lastPrinted>2023-04-14T04:04:00Z</cp:lastPrinted>
  <dcterms:created xsi:type="dcterms:W3CDTF">2023-02-27T08:48:00Z</dcterms:created>
  <dcterms:modified xsi:type="dcterms:W3CDTF">2023-04-14T04:09:00Z</dcterms:modified>
</cp:coreProperties>
</file>