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5CB7E0" wp14:editId="1306C972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66ACF51" wp14:editId="4AA013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0764CF" wp14:editId="08B354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B30D85" w:rsidRPr="00B30D85" w:rsidRDefault="00B30D85" w:rsidP="00B30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8E0" w:rsidRPr="00CB3562" w:rsidRDefault="001A28E0" w:rsidP="001A28E0">
      <w:pPr>
        <w:pStyle w:val="a6"/>
        <w:spacing w:before="480"/>
        <w:contextualSpacing/>
        <w:jc w:val="center"/>
        <w:rPr>
          <w:b/>
          <w:sz w:val="28"/>
          <w:szCs w:val="28"/>
        </w:rPr>
      </w:pPr>
      <w:r w:rsidRPr="00CB3562">
        <w:rPr>
          <w:b/>
          <w:sz w:val="28"/>
          <w:szCs w:val="28"/>
        </w:rPr>
        <w:t>П Р И К А З</w:t>
      </w:r>
    </w:p>
    <w:p w:rsidR="001A28E0" w:rsidRPr="00CB3562" w:rsidRDefault="001A28E0" w:rsidP="001A28E0">
      <w:pPr>
        <w:pStyle w:val="a6"/>
        <w:spacing w:before="480"/>
        <w:contextualSpacing/>
        <w:jc w:val="center"/>
        <w:rPr>
          <w:sz w:val="48"/>
          <w:szCs w:val="48"/>
        </w:rPr>
      </w:pPr>
    </w:p>
    <w:p w:rsidR="001A28E0" w:rsidRPr="00CB3562" w:rsidRDefault="001A28E0" w:rsidP="001A28E0">
      <w:pPr>
        <w:pStyle w:val="a6"/>
        <w:spacing w:before="480" w:after="480"/>
        <w:contextualSpacing/>
        <w:jc w:val="center"/>
        <w:rPr>
          <w:sz w:val="28"/>
          <w:szCs w:val="28"/>
        </w:rPr>
      </w:pPr>
      <w:r w:rsidRPr="00CB3562">
        <w:rPr>
          <w:sz w:val="28"/>
          <w:szCs w:val="28"/>
        </w:rPr>
        <w:t>от «___» июля 2023 г.  № ____ - п</w:t>
      </w:r>
    </w:p>
    <w:p w:rsidR="001A28E0" w:rsidRPr="00CB3562" w:rsidRDefault="001A28E0" w:rsidP="001A28E0">
      <w:pPr>
        <w:pStyle w:val="a6"/>
        <w:spacing w:before="480" w:after="480"/>
        <w:contextualSpacing/>
        <w:jc w:val="center"/>
        <w:rPr>
          <w:sz w:val="48"/>
          <w:szCs w:val="48"/>
        </w:rPr>
      </w:pPr>
    </w:p>
    <w:p w:rsidR="001A28E0" w:rsidRPr="00CB3562" w:rsidRDefault="001A28E0" w:rsidP="001A28E0">
      <w:pPr>
        <w:pStyle w:val="a6"/>
        <w:spacing w:before="480" w:after="480"/>
        <w:contextualSpacing/>
        <w:jc w:val="center"/>
        <w:rPr>
          <w:sz w:val="28"/>
          <w:szCs w:val="28"/>
        </w:rPr>
      </w:pPr>
      <w:r w:rsidRPr="00CB3562">
        <w:rPr>
          <w:sz w:val="28"/>
          <w:szCs w:val="28"/>
        </w:rPr>
        <w:t>г. Горно-Алтайск</w:t>
      </w:r>
    </w:p>
    <w:p w:rsidR="001A28E0" w:rsidRPr="00CB3562" w:rsidRDefault="001A28E0" w:rsidP="001A28E0">
      <w:pPr>
        <w:pStyle w:val="a6"/>
        <w:spacing w:before="480" w:after="480"/>
        <w:contextualSpacing/>
        <w:jc w:val="center"/>
        <w:rPr>
          <w:sz w:val="28"/>
          <w:szCs w:val="28"/>
        </w:rPr>
      </w:pPr>
    </w:p>
    <w:p w:rsidR="001A28E0" w:rsidRPr="00CB3562" w:rsidRDefault="001A28E0" w:rsidP="001A28E0">
      <w:pPr>
        <w:pStyle w:val="a6"/>
        <w:spacing w:before="480"/>
        <w:contextualSpacing/>
        <w:jc w:val="center"/>
        <w:rPr>
          <w:b/>
          <w:sz w:val="28"/>
          <w:szCs w:val="28"/>
        </w:rPr>
      </w:pPr>
      <w:r w:rsidRPr="00CB3562">
        <w:rPr>
          <w:b/>
          <w:sz w:val="28"/>
          <w:szCs w:val="28"/>
        </w:rPr>
        <w:t xml:space="preserve">О внесении изменений в Порядок сверки 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Алтай, утвержденный приказом Министерства финансов Республики Алтай от 4 июля 2014 г. № 97-п </w:t>
      </w:r>
    </w:p>
    <w:p w:rsidR="001A28E0" w:rsidRPr="00CB3562" w:rsidRDefault="001A28E0" w:rsidP="001A28E0">
      <w:pPr>
        <w:pStyle w:val="a6"/>
        <w:spacing w:before="480" w:line="276" w:lineRule="auto"/>
        <w:contextualSpacing/>
        <w:jc w:val="center"/>
        <w:rPr>
          <w:b/>
          <w:sz w:val="48"/>
          <w:szCs w:val="48"/>
        </w:rPr>
      </w:pPr>
    </w:p>
    <w:p w:rsidR="001A28E0" w:rsidRPr="00CB3562" w:rsidRDefault="001A28E0" w:rsidP="001A28E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3562">
        <w:rPr>
          <w:rFonts w:ascii="Times New Roman" w:hAnsi="Times New Roman"/>
          <w:b/>
          <w:sz w:val="28"/>
          <w:szCs w:val="28"/>
        </w:rPr>
        <w:t xml:space="preserve">П р и к а з ы в а ю: </w:t>
      </w:r>
    </w:p>
    <w:p w:rsidR="001A28E0" w:rsidRPr="00CB3562" w:rsidRDefault="001A28E0" w:rsidP="001A28E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28E0" w:rsidRPr="00CB3562" w:rsidRDefault="001A28E0" w:rsidP="001A28E0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3562">
        <w:rPr>
          <w:rFonts w:ascii="Times New Roman" w:hAnsi="Times New Roman"/>
          <w:sz w:val="28"/>
          <w:szCs w:val="28"/>
        </w:rPr>
        <w:t xml:space="preserve">Внести в Порядок сверки </w:t>
      </w:r>
      <w:r w:rsidRPr="00CB3562">
        <w:rPr>
          <w:rFonts w:ascii="Times New Roman" w:eastAsiaTheme="minorHAnsi" w:hAnsi="Times New Roman"/>
          <w:sz w:val="28"/>
          <w:szCs w:val="28"/>
        </w:rPr>
        <w:t xml:space="preserve">исходных данных для проведения расчетов распределения межбюджетных трансфертов на очередной финансовый год и плановый период с органами местного самоуправления в Республике Алтай, утвержденный приказом Министерства финансов Республики Алтай от 4 июля 2014 г. № 97-п, следующие изменения: 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562">
        <w:rPr>
          <w:rFonts w:ascii="Times New Roman" w:hAnsi="Times New Roman"/>
          <w:sz w:val="28"/>
          <w:szCs w:val="28"/>
        </w:rPr>
        <w:t xml:space="preserve">а) в подпункте «а» пункта 2 слова «25 июля текущего года подготавливает и направляет в органы местного самоуправления в Республике Алтай полный перечень исходные </w:t>
      </w:r>
      <w:hyperlink w:anchor="P78">
        <w:r w:rsidRPr="00CB3562">
          <w:rPr>
            <w:rFonts w:ascii="Times New Roman" w:hAnsi="Times New Roman"/>
            <w:sz w:val="28"/>
            <w:szCs w:val="28"/>
          </w:rPr>
          <w:t>данные</w:t>
        </w:r>
      </w:hyperlink>
      <w:r w:rsidRPr="00CB3562"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CB3562">
        <w:t xml:space="preserve"> </w:t>
      </w:r>
      <w:r w:rsidRPr="00CB3562">
        <w:rPr>
          <w:rFonts w:ascii="Times New Roman" w:hAnsi="Times New Roman"/>
          <w:sz w:val="28"/>
          <w:szCs w:val="28"/>
        </w:rPr>
        <w:t xml:space="preserve">«1 августа текущего года подготавливает и направляет в органы местного самоуправления в Республике Алтай полный перечень исходных </w:t>
      </w:r>
      <w:hyperlink w:anchor="P78">
        <w:r w:rsidRPr="00CB3562">
          <w:rPr>
            <w:rFonts w:ascii="Times New Roman" w:hAnsi="Times New Roman"/>
            <w:sz w:val="28"/>
            <w:szCs w:val="28"/>
          </w:rPr>
          <w:t>данны</w:t>
        </w:r>
      </w:hyperlink>
      <w:r w:rsidRPr="00CB3562">
        <w:rPr>
          <w:rFonts w:ascii="Times New Roman" w:hAnsi="Times New Roman"/>
          <w:sz w:val="28"/>
          <w:szCs w:val="28"/>
        </w:rPr>
        <w:t>х»;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 xml:space="preserve">б) в </w:t>
      </w:r>
      <w:hyperlink r:id="rId8" w:history="1">
        <w:r w:rsidRPr="00CB3562">
          <w:rPr>
            <w:rFonts w:ascii="Times New Roman" w:hAnsi="Times New Roman"/>
            <w:sz w:val="28"/>
            <w:szCs w:val="28"/>
            <w:lang w:eastAsia="ru-RU"/>
          </w:rPr>
          <w:t>подпункте «б» пункта 2</w:t>
        </w:r>
      </w:hyperlink>
      <w:r w:rsidRPr="00CB3562">
        <w:rPr>
          <w:rFonts w:ascii="Times New Roman" w:hAnsi="Times New Roman"/>
          <w:sz w:val="28"/>
          <w:szCs w:val="28"/>
          <w:lang w:eastAsia="ru-RU"/>
        </w:rPr>
        <w:t xml:space="preserve"> слова «в срок до 15 августа» заменить словами «в срок до 20 августа»;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B3562">
        <w:rPr>
          <w:rFonts w:ascii="Times New Roman" w:hAnsi="Times New Roman"/>
          <w:sz w:val="28"/>
          <w:szCs w:val="28"/>
        </w:rPr>
        <w:t>) в подпункте «а» пункта 3 слова «1 августа» заменить словами</w:t>
      </w:r>
      <w:r w:rsidRPr="00CB3562">
        <w:t xml:space="preserve"> </w:t>
      </w:r>
      <w:r w:rsidRPr="00CB3562">
        <w:rPr>
          <w:rFonts w:ascii="Times New Roman" w:hAnsi="Times New Roman"/>
          <w:sz w:val="28"/>
          <w:szCs w:val="28"/>
        </w:rPr>
        <w:t>«15 августа»;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 xml:space="preserve">г) в подпункте «б» пункта </w:t>
      </w:r>
      <w:hyperlink r:id="rId9" w:history="1">
        <w:r w:rsidRPr="00CB3562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CB3562">
        <w:rPr>
          <w:rFonts w:ascii="Times New Roman" w:hAnsi="Times New Roman"/>
          <w:sz w:val="28"/>
          <w:szCs w:val="28"/>
          <w:lang w:eastAsia="ru-RU"/>
        </w:rPr>
        <w:t>: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>в абзаце первом слова «в срок до 20 августа» заменить словами «в срок до 25 августа»;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>в абзаце втором слова «в срок до 18 августа» заменить словами «в срок до 23 августа»;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>в абзаце третьем слова «в срок до 20 августа» заменить словами «в срок до 25 августа»;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>в абзаце четвертом слова «в срок до 18 августа» заменить словами «в срок до 23 августа»;</w:t>
      </w: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B3562">
        <w:rPr>
          <w:rFonts w:ascii="Times New Roman" w:hAnsi="Times New Roman"/>
          <w:sz w:val="28"/>
          <w:szCs w:val="28"/>
        </w:rPr>
        <w:t>) приложение № 1 к указанному Порядку изложить в следующей редакции:</w:t>
      </w:r>
    </w:p>
    <w:p w:rsidR="001A28E0" w:rsidRPr="00CB3562" w:rsidRDefault="001A28E0" w:rsidP="001A28E0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1A28E0" w:rsidRPr="00CB3562" w:rsidRDefault="001A28E0" w:rsidP="001A28E0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к Порядку сверки исходных</w:t>
      </w:r>
    </w:p>
    <w:p w:rsidR="001A28E0" w:rsidRPr="00CB3562" w:rsidRDefault="001A28E0" w:rsidP="001A28E0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данных для проведения расчетов</w:t>
      </w:r>
    </w:p>
    <w:p w:rsidR="001A28E0" w:rsidRPr="00CB3562" w:rsidRDefault="001A28E0" w:rsidP="001A28E0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распределения межбюджетных трансфертов</w:t>
      </w:r>
    </w:p>
    <w:p w:rsidR="001A28E0" w:rsidRPr="00CB3562" w:rsidRDefault="001A28E0" w:rsidP="001A28E0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на очередной финансовый год и плановый</w:t>
      </w:r>
    </w:p>
    <w:p w:rsidR="001A28E0" w:rsidRPr="00CB3562" w:rsidRDefault="001A28E0" w:rsidP="001A28E0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период с органами местного</w:t>
      </w:r>
    </w:p>
    <w:p w:rsidR="001A28E0" w:rsidRPr="00CB3562" w:rsidRDefault="001A28E0" w:rsidP="001A28E0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самоуправления в Республике Алтай</w:t>
      </w:r>
    </w:p>
    <w:p w:rsidR="001A28E0" w:rsidRPr="00CB3562" w:rsidRDefault="001A28E0" w:rsidP="001A28E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1A28E0" w:rsidRPr="00CB3562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62">
        <w:rPr>
          <w:rFonts w:ascii="Times New Roman" w:hAnsi="Times New Roman" w:cs="Times New Roman"/>
          <w:b/>
          <w:sz w:val="28"/>
          <w:szCs w:val="28"/>
        </w:rPr>
        <w:t>ПЕРЕЧЕНЬ ИСХОДНЫХ ДАННЫХ</w:t>
      </w:r>
    </w:p>
    <w:p w:rsidR="001A28E0" w:rsidRPr="00CB3562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62">
        <w:rPr>
          <w:rFonts w:ascii="Times New Roman" w:hAnsi="Times New Roman" w:cs="Times New Roman"/>
          <w:b/>
          <w:sz w:val="28"/>
          <w:szCs w:val="28"/>
        </w:rPr>
        <w:t>для проведения расчета распределения межбюджетных трансфертов местным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562">
        <w:rPr>
          <w:rFonts w:ascii="Times New Roman" w:hAnsi="Times New Roman" w:cs="Times New Roman"/>
          <w:b/>
          <w:sz w:val="28"/>
          <w:szCs w:val="28"/>
        </w:rPr>
        <w:t>бюджетам из республиканского бюджета Республики Алтай</w:t>
      </w:r>
    </w:p>
    <w:p w:rsidR="001A28E0" w:rsidRPr="00CB3562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62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1A28E0" w:rsidRPr="00CB3562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62">
        <w:rPr>
          <w:rFonts w:ascii="Times New Roman" w:hAnsi="Times New Roman" w:cs="Times New Roman"/>
          <w:b/>
          <w:sz w:val="28"/>
          <w:szCs w:val="28"/>
        </w:rPr>
        <w:t>Муниципальное образование «____________________________»</w:t>
      </w:r>
    </w:p>
    <w:p w:rsidR="001A28E0" w:rsidRPr="00CB3562" w:rsidRDefault="001A28E0" w:rsidP="001A28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1560"/>
        <w:gridCol w:w="1842"/>
        <w:gridCol w:w="1276"/>
      </w:tblGrid>
      <w:tr w:rsidR="001A28E0" w:rsidRPr="00CB3562" w:rsidTr="001A04D6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A28E0" w:rsidRPr="00CB3562" w:rsidTr="001A28E0">
        <w:trPr>
          <w:trHeight w:val="3241"/>
        </w:trPr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в муниципальном районе (городском округе) 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января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Align w:val="center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A28E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Управление Федеральной службы</w:t>
              </w:r>
              <w:r w:rsidRPr="001A28E0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1A28E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государственной статистики </w:t>
              </w:r>
              <w:r w:rsidRPr="001A28E0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1A28E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 Алтайскому краю и Республике Алтай</w:t>
              </w:r>
            </w:hyperlink>
            <w:r w:rsidRPr="001A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spellStart"/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  <w:proofErr w:type="spellEnd"/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rPr>
          <w:trHeight w:val="1775"/>
        </w:trPr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от 1 - 6 лет (включительно), проживающих на территории муниципального района (городского округа) 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января года, предшествующего текущему году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  <w:proofErr w:type="spellEnd"/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общеобразовательных организаций  муниципального района (городском округа) 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сентября года, предшествующего текущему году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– 18 лет (включительно), проживающих на территории муниципального района (городского округа)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января года, предшествующего текущему году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  <w:proofErr w:type="spellEnd"/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отопительного периода в муниципальном районе (городском округе)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842" w:type="dxa"/>
            <w:vMerge w:val="restart"/>
            <w:vAlign w:val="center"/>
          </w:tcPr>
          <w:p w:rsidR="001A28E0" w:rsidRPr="00CB3562" w:rsidRDefault="001A28E0" w:rsidP="001A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Горно-Алтайский центр по гидрометеорологии и мониторингу окружающей среды - филиал Федерального государственного бюджетного учреждения «Западно-Сибирское управление по гидрометеорологии и мониторингу окружающей среды»</w:t>
            </w: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воздуха в течение отопительного периода в муниципальном районе (городском округе)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Средняя расчетная температура воздуха самой холодной пятидневки в муниципальном районе (городском округе)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Стоимость фиксированного набора товаров и услуг в муниципальном районе (городском округе)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год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имущественных отношений Республики Алтай</w:t>
            </w: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1526" w:type="dxa"/>
            <w:vMerge w:val="restart"/>
          </w:tcPr>
          <w:p w:rsidR="001A28E0" w:rsidRPr="00CB3562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населенных пунктов</w:t>
            </w:r>
          </w:p>
        </w:tc>
        <w:tc>
          <w:tcPr>
            <w:tcW w:w="1843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842" w:type="dxa"/>
            <w:vMerge w:val="restart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Алтайкрайстат</w:t>
            </w:r>
            <w:proofErr w:type="spellEnd"/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1526" w:type="dxa"/>
            <w:vMerge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с численностью постоянного  населения  не более 500 человек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состоящих на воинском учете, всего, в том числе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 w:val="restart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«Военный комиссариат Республики Алтай»</w:t>
            </w: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граждан, подлежащих призыву на военную службу, не пребывающих в запасе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пребывающих в </w:t>
            </w: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запасе всего, в том числе: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офицеров запаса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прапорщиков, сержантов, солдат запаса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842" w:type="dxa"/>
            <w:vMerge/>
            <w:vAlign w:val="center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E0" w:rsidRPr="00CB3562" w:rsidTr="001A28E0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Количество военно-учетных работников, всего, в том числе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 w:val="restart"/>
            <w:vAlign w:val="center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«Военный комиссариат Республики Алтай».</w:t>
            </w: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3369" w:type="dxa"/>
            <w:gridSpan w:val="2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/>
          </w:tcPr>
          <w:p w:rsidR="001A28E0" w:rsidRPr="00CB3562" w:rsidRDefault="001A28E0" w:rsidP="001A0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3369" w:type="dxa"/>
            <w:gridSpan w:val="2"/>
          </w:tcPr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275" w:type="dxa"/>
          </w:tcPr>
          <w:p w:rsidR="001A28E0" w:rsidRPr="00CB3562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62">
              <w:rPr>
                <w:rFonts w:ascii="Times New Roman" w:hAnsi="Times New Roman" w:cs="Times New Roman"/>
                <w:sz w:val="24"/>
                <w:szCs w:val="24"/>
              </w:rPr>
              <w:t>на 1 июня текущего года</w:t>
            </w:r>
          </w:p>
        </w:tc>
        <w:tc>
          <w:tcPr>
            <w:tcW w:w="1560" w:type="dxa"/>
          </w:tcPr>
          <w:p w:rsidR="001A28E0" w:rsidRPr="00CB3562" w:rsidRDefault="001A28E0" w:rsidP="001A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E0" w:rsidRPr="00CB3562" w:rsidRDefault="001A28E0" w:rsidP="001A04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56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  <w:vMerge/>
          </w:tcPr>
          <w:p w:rsidR="001A28E0" w:rsidRPr="00CB3562" w:rsidRDefault="001A28E0" w:rsidP="001A04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CB3562" w:rsidRDefault="001A28E0" w:rsidP="001A0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8E0" w:rsidRPr="00CB3562" w:rsidRDefault="001A28E0" w:rsidP="001A28E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A28E0" w:rsidRPr="00CB3562" w:rsidRDefault="001A28E0" w:rsidP="001A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562">
        <w:rPr>
          <w:rFonts w:ascii="Times New Roman" w:hAnsi="Times New Roman"/>
          <w:sz w:val="28"/>
          <w:szCs w:val="28"/>
          <w:lang w:eastAsia="ru-RU"/>
        </w:rPr>
        <w:t>е) приложение № 2 к указанному порядку изложить в следующей редакции:</w:t>
      </w:r>
    </w:p>
    <w:p w:rsidR="001A28E0" w:rsidRPr="00CB3562" w:rsidRDefault="001A28E0" w:rsidP="001A28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к Порядку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сверки исходных данных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для проведения расчетов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распределения межбюджетных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трансфертов на очередной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финансовый год и плановый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период с органами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A28E0" w:rsidRPr="00CB3562" w:rsidRDefault="001A28E0" w:rsidP="001A28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3562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1A28E0" w:rsidRPr="00CB3562" w:rsidRDefault="001A28E0" w:rsidP="001A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8E0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9"/>
      <w:bookmarkEnd w:id="1"/>
      <w:r w:rsidRPr="001A28E0">
        <w:rPr>
          <w:rFonts w:ascii="Times New Roman" w:hAnsi="Times New Roman" w:cs="Times New Roman"/>
          <w:b/>
          <w:sz w:val="28"/>
          <w:szCs w:val="28"/>
        </w:rPr>
        <w:t xml:space="preserve">ПЕРЕЧЕНЬ ИСХОДНЫХ ДАННЫХ, </w:t>
      </w:r>
    </w:p>
    <w:p w:rsidR="001A28E0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E0">
        <w:rPr>
          <w:rFonts w:ascii="Times New Roman" w:hAnsi="Times New Roman" w:cs="Times New Roman"/>
          <w:b/>
          <w:sz w:val="28"/>
          <w:szCs w:val="28"/>
        </w:rPr>
        <w:t>необходимых для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E0">
        <w:rPr>
          <w:rFonts w:ascii="Times New Roman" w:hAnsi="Times New Roman" w:cs="Times New Roman"/>
          <w:b/>
          <w:sz w:val="28"/>
          <w:szCs w:val="28"/>
        </w:rPr>
        <w:t>оценки налогового потенциала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E0">
        <w:rPr>
          <w:rFonts w:ascii="Times New Roman" w:hAnsi="Times New Roman" w:cs="Times New Roman"/>
          <w:b/>
          <w:sz w:val="28"/>
          <w:szCs w:val="28"/>
        </w:rPr>
        <w:t>в Республике Алтай на очередной финансовый год и плановый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E0">
        <w:rPr>
          <w:rFonts w:ascii="Times New Roman" w:hAnsi="Times New Roman" w:cs="Times New Roman"/>
          <w:b/>
          <w:sz w:val="28"/>
          <w:szCs w:val="28"/>
        </w:rPr>
        <w:t>период для проведения расчетов распределения межбюджетных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E0">
        <w:rPr>
          <w:rFonts w:ascii="Times New Roman" w:hAnsi="Times New Roman" w:cs="Times New Roman"/>
          <w:b/>
          <w:sz w:val="28"/>
          <w:szCs w:val="28"/>
        </w:rPr>
        <w:t>трансфертов из республиканского бюджета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E0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и </w:t>
      </w:r>
    </w:p>
    <w:p w:rsidR="001A28E0" w:rsidRPr="001A28E0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E0">
        <w:rPr>
          <w:rFonts w:ascii="Times New Roman" w:hAnsi="Times New Roman" w:cs="Times New Roman"/>
          <w:b/>
          <w:sz w:val="28"/>
          <w:szCs w:val="28"/>
        </w:rPr>
        <w:t>плановый период</w:t>
      </w:r>
    </w:p>
    <w:p w:rsidR="001A28E0" w:rsidRPr="001A28E0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8E0" w:rsidRPr="001A28E0" w:rsidRDefault="001A28E0" w:rsidP="001A28E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E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A28E0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8E0" w:rsidRPr="00CB3562" w:rsidRDefault="001A28E0" w:rsidP="001A2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492"/>
        <w:gridCol w:w="1417"/>
        <w:gridCol w:w="1020"/>
        <w:gridCol w:w="1283"/>
        <w:gridCol w:w="1276"/>
        <w:gridCol w:w="1134"/>
      </w:tblGrid>
      <w:tr w:rsidR="001A28E0" w:rsidRPr="001A28E0" w:rsidTr="001A04D6">
        <w:tc>
          <w:tcPr>
            <w:tcW w:w="3397" w:type="dxa"/>
            <w:gridSpan w:val="2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020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данным мф </w:t>
            </w:r>
            <w:proofErr w:type="spellStart"/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02"/>
            <w:bookmarkEnd w:id="2"/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данным </w:t>
            </w:r>
            <w:proofErr w:type="spellStart"/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203"/>
            <w:bookmarkEnd w:id="3"/>
            <w:r w:rsidRPr="001A28E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Согласованное значение показателя</w:t>
            </w:r>
          </w:p>
        </w:tc>
      </w:tr>
      <w:tr w:rsidR="001A28E0" w:rsidRPr="00CB3562" w:rsidTr="001A04D6">
        <w:tc>
          <w:tcPr>
            <w:tcW w:w="3397" w:type="dxa"/>
            <w:gridSpan w:val="2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КБ МО</w:t>
            </w: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КБ МО</w:t>
            </w: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КБ МО</w:t>
            </w:r>
          </w:p>
        </w:tc>
      </w:tr>
      <w:tr w:rsidR="001A28E0" w:rsidRPr="001A28E0" w:rsidTr="001A28E0">
        <w:tc>
          <w:tcPr>
            <w:tcW w:w="3397" w:type="dxa"/>
            <w:gridSpan w:val="2"/>
            <w:vAlign w:val="center"/>
          </w:tcPr>
          <w:p w:rsidR="001A28E0" w:rsidRPr="001A28E0" w:rsidRDefault="001A28E0" w:rsidP="001A28E0">
            <w:pPr>
              <w:jc w:val="center"/>
              <w:rPr>
                <w:rFonts w:ascii="Times New Roman" w:hAnsi="Times New Roman" w:cs="Times New Roman"/>
              </w:rPr>
            </w:pPr>
            <w:r w:rsidRPr="001A2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1A28E0" w:rsidRPr="001A28E0" w:rsidRDefault="001A28E0" w:rsidP="001A28E0">
            <w:pPr>
              <w:jc w:val="center"/>
              <w:rPr>
                <w:rFonts w:ascii="Times New Roman" w:hAnsi="Times New Roman" w:cs="Times New Roman"/>
              </w:rPr>
            </w:pPr>
            <w:r w:rsidRPr="001A2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1A28E0" w:rsidRPr="001A28E0" w:rsidRDefault="001A28E0" w:rsidP="001A28E0">
            <w:pPr>
              <w:jc w:val="center"/>
              <w:rPr>
                <w:rFonts w:ascii="Times New Roman" w:hAnsi="Times New Roman" w:cs="Times New Roman"/>
              </w:rPr>
            </w:pPr>
            <w:r w:rsidRPr="001A2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vAlign w:val="center"/>
          </w:tcPr>
          <w:p w:rsidR="001A28E0" w:rsidRPr="001A28E0" w:rsidRDefault="001A28E0" w:rsidP="001A28E0">
            <w:pPr>
              <w:jc w:val="center"/>
              <w:rPr>
                <w:rFonts w:ascii="Times New Roman" w:hAnsi="Times New Roman" w:cs="Times New Roman"/>
              </w:rPr>
            </w:pPr>
            <w:r w:rsidRPr="001A2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1A28E0" w:rsidRPr="001A28E0" w:rsidRDefault="001A28E0" w:rsidP="001A28E0">
            <w:pPr>
              <w:jc w:val="center"/>
              <w:rPr>
                <w:rFonts w:ascii="Times New Roman" w:hAnsi="Times New Roman" w:cs="Times New Roman"/>
              </w:rPr>
            </w:pPr>
            <w:r w:rsidRPr="001A2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A28E0" w:rsidRPr="001A28E0" w:rsidRDefault="001A28E0" w:rsidP="001A28E0">
            <w:pPr>
              <w:jc w:val="center"/>
              <w:rPr>
                <w:rFonts w:ascii="Times New Roman" w:hAnsi="Times New Roman" w:cs="Times New Roman"/>
              </w:rPr>
            </w:pPr>
            <w:r w:rsidRPr="001A28E0">
              <w:rPr>
                <w:rFonts w:ascii="Times New Roman" w:hAnsi="Times New Roman" w:cs="Times New Roman"/>
              </w:rPr>
              <w:t>6</w:t>
            </w:r>
          </w:p>
        </w:tc>
      </w:tr>
      <w:tr w:rsidR="001A28E0" w:rsidRPr="00CB3562" w:rsidTr="001A04D6">
        <w:tc>
          <w:tcPr>
            <w:tcW w:w="3397" w:type="dxa"/>
            <w:gridSpan w:val="2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3397" w:type="dxa"/>
            <w:gridSpan w:val="2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3397" w:type="dxa"/>
            <w:gridSpan w:val="2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(денежное выражение доходов)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(денежное выражение доходов, уменьшенных на величину расходов)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(денежное выражение доходов)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rPr>
          <w:trHeight w:val="2383"/>
        </w:trPr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(денежное выражение доходов, уменьшенных на величину расходов)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(денежное выражение доходов)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(денежное выражение доходов, уменьшенных на величину расходов)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Налоговая база (денежные доходы, уменьшенные на величину расходов)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Налоговая база (денежные доходы, уменьшенные на величину расходов)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Налоговая база (денежные доходы, уменьшенные на величину расходов)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Кадастровая стоимость имущества, признаваемого объектом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Кадастровая стоимость имущества, признаваемого объектом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Кадастровая стоимость имущества, признаваемого объектом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Налоговая база (среднегодовая стоимость имущества, признаваемого объектом налогообложения)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 (кадастровая стоимость имущества, признаваемого объектом налогообложения)</w:t>
            </w:r>
          </w:p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Налоговая база (среднегодовая стоимость имущества, признаваемого объектом налогообложения)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 (кадастровая стоимость имущества, признаваемого объектом налогообложения)</w:t>
            </w:r>
          </w:p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Налоговая база (среднегодовая стоимость имущества, признаваемого объектом налогообложения)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Налоговая база  (кадастровая стоимость имущества, признаваемого объектом налогообложения)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Кадастровая стоимость земельных участков, признаваемых объектом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Кадастровая стоимость земельных участков, признаваемых объектом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rPr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Кадастровая стоимость земельных участков, признаваемых объектом налогообложения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8E0">
              <w:rPr>
                <w:rFonts w:ascii="Times New Roman" w:hAnsi="Times New Roman"/>
                <w:sz w:val="24"/>
                <w:szCs w:val="24"/>
              </w:rPr>
              <w:t>Стоимость добытых полезных ископаемых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м куб.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eastAsiaTheme="minorHAnsi" w:hAnsi="Times New Roman"/>
                <w:sz w:val="24"/>
                <w:szCs w:val="24"/>
              </w:rPr>
              <w:t>Стоимость добытых полезных ископаемых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м куб.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eastAsiaTheme="minorHAnsi" w:hAnsi="Times New Roman"/>
                <w:sz w:val="24"/>
                <w:szCs w:val="24"/>
              </w:rPr>
              <w:t>Стоимость добытых полезных ископаемых</w:t>
            </w: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м куб.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Прогноз поступлений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Прогноз поступлений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Прогноз поступлений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 w:val="restart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Прогноз поступлений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очередной год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Прогноз поступлений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E0" w:rsidRPr="00CB3562" w:rsidTr="001A04D6">
        <w:tc>
          <w:tcPr>
            <w:tcW w:w="1905" w:type="dxa"/>
            <w:vMerge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Прогноз поступлений</w:t>
            </w:r>
          </w:p>
        </w:tc>
        <w:tc>
          <w:tcPr>
            <w:tcW w:w="1417" w:type="dxa"/>
          </w:tcPr>
          <w:p w:rsidR="001A28E0" w:rsidRPr="001A28E0" w:rsidRDefault="001A28E0" w:rsidP="001A0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  <w:tc>
          <w:tcPr>
            <w:tcW w:w="1020" w:type="dxa"/>
          </w:tcPr>
          <w:p w:rsidR="001A28E0" w:rsidRPr="001A28E0" w:rsidRDefault="001A28E0" w:rsidP="001A0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8E0" w:rsidRPr="001A28E0" w:rsidRDefault="001A28E0" w:rsidP="001A04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E0" w:rsidRPr="00CB3562" w:rsidRDefault="001A28E0" w:rsidP="001A28E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28E0" w:rsidRPr="00CB3562" w:rsidRDefault="001A28E0" w:rsidP="001A28E0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CB3562">
        <w:rPr>
          <w:rFonts w:ascii="Times New Roman" w:hAnsi="Times New Roman"/>
          <w:sz w:val="28"/>
          <w:szCs w:val="28"/>
        </w:rPr>
        <w:t xml:space="preserve">2. Контроль за исполнением настоящего Приказа возложить на заместителя министра Прядко М.В. </w:t>
      </w:r>
    </w:p>
    <w:p w:rsidR="001A28E0" w:rsidRPr="00CB3562" w:rsidRDefault="001A28E0" w:rsidP="001A28E0">
      <w:pPr>
        <w:spacing w:after="0"/>
        <w:rPr>
          <w:rFonts w:ascii="Times New Roman" w:hAnsi="Times New Roman"/>
          <w:sz w:val="28"/>
          <w:szCs w:val="28"/>
        </w:rPr>
      </w:pPr>
    </w:p>
    <w:p w:rsidR="001A28E0" w:rsidRPr="00CB3562" w:rsidRDefault="001A28E0" w:rsidP="001A28E0">
      <w:pPr>
        <w:spacing w:after="0"/>
        <w:rPr>
          <w:rFonts w:ascii="Times New Roman" w:hAnsi="Times New Roman"/>
          <w:sz w:val="28"/>
          <w:szCs w:val="28"/>
        </w:rPr>
      </w:pPr>
    </w:p>
    <w:p w:rsidR="001A28E0" w:rsidRPr="00CB3562" w:rsidRDefault="001A28E0" w:rsidP="001A28E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CB356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1A28E0" w:rsidRPr="00CB3562" w:rsidRDefault="001A28E0" w:rsidP="001A28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2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1A28E0" w:rsidRDefault="001A28E0" w:rsidP="001A28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3562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О.В. Завьялова</w:t>
      </w:r>
    </w:p>
    <w:p w:rsidR="00F26777" w:rsidRPr="00E32A5C" w:rsidRDefault="00F26777" w:rsidP="001A28E0">
      <w:pPr>
        <w:spacing w:after="0" w:line="240" w:lineRule="auto"/>
        <w:jc w:val="center"/>
        <w:rPr>
          <w:sz w:val="28"/>
          <w:szCs w:val="28"/>
        </w:rPr>
      </w:pPr>
    </w:p>
    <w:sectPr w:rsidR="00F26777" w:rsidRPr="00E32A5C" w:rsidSect="006E4BD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DD" w:rsidRDefault="009922DD" w:rsidP="009922DD">
      <w:pPr>
        <w:spacing w:after="0" w:line="240" w:lineRule="auto"/>
      </w:pPr>
      <w:r>
        <w:separator/>
      </w:r>
    </w:p>
  </w:endnote>
  <w:end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DD" w:rsidRDefault="009922DD" w:rsidP="009922DD">
      <w:pPr>
        <w:spacing w:after="0" w:line="240" w:lineRule="auto"/>
      </w:pPr>
      <w:r>
        <w:separator/>
      </w:r>
    </w:p>
  </w:footnote>
  <w:foot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1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2DD" w:rsidRPr="00F067E7" w:rsidRDefault="009922D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67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67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60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2DD" w:rsidRDefault="009922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CF7"/>
    <w:multiLevelType w:val="hybridMultilevel"/>
    <w:tmpl w:val="00A0339A"/>
    <w:lvl w:ilvl="0" w:tplc="36AA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249FE"/>
    <w:rsid w:val="0004388E"/>
    <w:rsid w:val="000A0E80"/>
    <w:rsid w:val="000A35E5"/>
    <w:rsid w:val="000A4C4B"/>
    <w:rsid w:val="000B424E"/>
    <w:rsid w:val="000B78BC"/>
    <w:rsid w:val="00103C8B"/>
    <w:rsid w:val="00144BF5"/>
    <w:rsid w:val="00175F25"/>
    <w:rsid w:val="001A28E0"/>
    <w:rsid w:val="00201640"/>
    <w:rsid w:val="00226AA0"/>
    <w:rsid w:val="002D3865"/>
    <w:rsid w:val="002E53DB"/>
    <w:rsid w:val="002F79AD"/>
    <w:rsid w:val="0034657A"/>
    <w:rsid w:val="00346F65"/>
    <w:rsid w:val="003F6FA5"/>
    <w:rsid w:val="00456A5F"/>
    <w:rsid w:val="00486D11"/>
    <w:rsid w:val="004B2442"/>
    <w:rsid w:val="004B5F35"/>
    <w:rsid w:val="00546311"/>
    <w:rsid w:val="005B1B60"/>
    <w:rsid w:val="005D43C6"/>
    <w:rsid w:val="005E4BEC"/>
    <w:rsid w:val="00645514"/>
    <w:rsid w:val="006C6146"/>
    <w:rsid w:val="006E4BDC"/>
    <w:rsid w:val="006E6739"/>
    <w:rsid w:val="007044E6"/>
    <w:rsid w:val="00727B61"/>
    <w:rsid w:val="007B2013"/>
    <w:rsid w:val="0080030B"/>
    <w:rsid w:val="00824BCC"/>
    <w:rsid w:val="0083131C"/>
    <w:rsid w:val="0083148B"/>
    <w:rsid w:val="008766E9"/>
    <w:rsid w:val="00883F8B"/>
    <w:rsid w:val="00896731"/>
    <w:rsid w:val="008A319C"/>
    <w:rsid w:val="00922D0D"/>
    <w:rsid w:val="009454C1"/>
    <w:rsid w:val="00960BEF"/>
    <w:rsid w:val="00971C34"/>
    <w:rsid w:val="0098565D"/>
    <w:rsid w:val="009922DD"/>
    <w:rsid w:val="00994B6B"/>
    <w:rsid w:val="009A1624"/>
    <w:rsid w:val="009B3086"/>
    <w:rsid w:val="009B4CC3"/>
    <w:rsid w:val="009C2748"/>
    <w:rsid w:val="009C3E29"/>
    <w:rsid w:val="00A05A74"/>
    <w:rsid w:val="00A21809"/>
    <w:rsid w:val="00A27E5F"/>
    <w:rsid w:val="00A366AF"/>
    <w:rsid w:val="00A41278"/>
    <w:rsid w:val="00A52DA2"/>
    <w:rsid w:val="00A846FA"/>
    <w:rsid w:val="00AD560C"/>
    <w:rsid w:val="00B30D85"/>
    <w:rsid w:val="00B3477F"/>
    <w:rsid w:val="00BA0FCA"/>
    <w:rsid w:val="00BB3431"/>
    <w:rsid w:val="00BD49A5"/>
    <w:rsid w:val="00BE7AF6"/>
    <w:rsid w:val="00C17B74"/>
    <w:rsid w:val="00C92D3A"/>
    <w:rsid w:val="00CC1D1F"/>
    <w:rsid w:val="00CC7A20"/>
    <w:rsid w:val="00D11AB2"/>
    <w:rsid w:val="00D328A9"/>
    <w:rsid w:val="00D3758F"/>
    <w:rsid w:val="00D41C65"/>
    <w:rsid w:val="00D47495"/>
    <w:rsid w:val="00D508F1"/>
    <w:rsid w:val="00D56B25"/>
    <w:rsid w:val="00D95B16"/>
    <w:rsid w:val="00DA218E"/>
    <w:rsid w:val="00DB4648"/>
    <w:rsid w:val="00DF0F9A"/>
    <w:rsid w:val="00DF2338"/>
    <w:rsid w:val="00E142CC"/>
    <w:rsid w:val="00E26477"/>
    <w:rsid w:val="00E32A5C"/>
    <w:rsid w:val="00E457A4"/>
    <w:rsid w:val="00E84B71"/>
    <w:rsid w:val="00EB7B31"/>
    <w:rsid w:val="00EC4A15"/>
    <w:rsid w:val="00EC75CB"/>
    <w:rsid w:val="00F01FF4"/>
    <w:rsid w:val="00F067E7"/>
    <w:rsid w:val="00F22808"/>
    <w:rsid w:val="00F26777"/>
    <w:rsid w:val="00F57C32"/>
    <w:rsid w:val="00F67550"/>
    <w:rsid w:val="00F67C4E"/>
    <w:rsid w:val="00F70A0D"/>
    <w:rsid w:val="00F75142"/>
    <w:rsid w:val="00F75227"/>
    <w:rsid w:val="00F93023"/>
    <w:rsid w:val="00F930FF"/>
    <w:rsid w:val="00FB3C5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0A736E2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32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32A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E32A5C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22DD"/>
  </w:style>
  <w:style w:type="paragraph" w:styleId="ab">
    <w:name w:val="footer"/>
    <w:basedOn w:val="a"/>
    <w:link w:val="ac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2DD"/>
  </w:style>
  <w:style w:type="paragraph" w:customStyle="1" w:styleId="ConsPlusNormal">
    <w:name w:val="ConsPlusNormal"/>
    <w:rsid w:val="001A2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28E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A28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DB29A3B7A2D23953970044E8527488B0504ED8C67277E0F9FD5A7505462C3ECEE4D7069680685830A547018F9D0F3D9BE51DAEDADE5E2B1078FVCZ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k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DB29A3B7A2D23953970044E8527488B0504ED8C67277E0F9FD5A7505462C3ECEE4D7069680685830A547018F9D0F3D9BE51DAEDADE5E2B1078FVC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Неверова Екатерина Валерьевна</cp:lastModifiedBy>
  <cp:revision>3</cp:revision>
  <cp:lastPrinted>2023-07-12T07:18:00Z</cp:lastPrinted>
  <dcterms:created xsi:type="dcterms:W3CDTF">2023-07-18T02:29:00Z</dcterms:created>
  <dcterms:modified xsi:type="dcterms:W3CDTF">2023-07-18T02:29:00Z</dcterms:modified>
</cp:coreProperties>
</file>