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D6" w:rsidRPr="001B5DD6" w:rsidRDefault="001B5DD6" w:rsidP="001B5DD6">
      <w:pPr>
        <w:spacing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520EE2" wp14:editId="1411A628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D6" w:rsidRPr="001B5DD6" w:rsidRDefault="001B5DD6" w:rsidP="001B5DD6">
      <w:pPr>
        <w:spacing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1B5DD6" w:rsidRPr="001B5DD6" w:rsidTr="00584FDE">
        <w:tc>
          <w:tcPr>
            <w:tcW w:w="4390" w:type="dxa"/>
          </w:tcPr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  <w:sz w:val="12"/>
                <w:szCs w:val="12"/>
              </w:rPr>
            </w:pP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proofErr w:type="spellStart"/>
            <w:r w:rsidRPr="001B5DD6">
              <w:rPr>
                <w:rFonts w:ascii="Times New Roman" w:hAnsi="Times New Roman"/>
                <w:color w:val="0070C0"/>
              </w:rPr>
              <w:t>Чаптынова</w:t>
            </w:r>
            <w:proofErr w:type="spellEnd"/>
            <w:r w:rsidRPr="001B5DD6">
              <w:rPr>
                <w:rFonts w:ascii="Times New Roman" w:hAnsi="Times New Roman"/>
                <w:color w:val="0070C0"/>
              </w:rPr>
              <w:t xml:space="preserve"> ул., д.24, г. Горно-Алтайск, 649000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тел. (388-22) 2-26-21, факс (388-22) 2-32-95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E-</w:t>
            </w:r>
            <w:proofErr w:type="spellStart"/>
            <w:r w:rsidRPr="001B5DD6">
              <w:rPr>
                <w:rFonts w:ascii="Times New Roman" w:hAnsi="Times New Roman"/>
                <w:color w:val="0070C0"/>
              </w:rPr>
              <w:t>mail</w:t>
            </w:r>
            <w:proofErr w:type="spellEnd"/>
            <w:r w:rsidRPr="001B5DD6">
              <w:rPr>
                <w:rFonts w:ascii="Times New Roman" w:hAnsi="Times New Roman"/>
                <w:color w:val="0070C0"/>
              </w:rPr>
              <w:t>: info@mf.altaigov.ru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www.minfin-altay.ru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ОКПО 00078212, ОГРН 1020400753438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ИНН/КПП 0411005460/041101001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B5DD6">
              <w:rPr>
                <w:rFonts w:ascii="Times New Roman" w:hAnsi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4200CE6" wp14:editId="5C9B88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32CB8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1B5DD6">
              <w:rPr>
                <w:rFonts w:ascii="Times New Roman" w:hAnsi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C32DA3" wp14:editId="3BBAAE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67805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535" w:type="dxa"/>
          </w:tcPr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  <w:sz w:val="12"/>
                <w:szCs w:val="12"/>
              </w:rPr>
            </w:pP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1B5DD6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proofErr w:type="spellStart"/>
            <w:r w:rsidRPr="001B5DD6">
              <w:rPr>
                <w:rFonts w:ascii="Times New Roman" w:hAnsi="Times New Roman"/>
                <w:color w:val="0070C0"/>
              </w:rPr>
              <w:t>Чаптыновтыҥ</w:t>
            </w:r>
            <w:proofErr w:type="spellEnd"/>
            <w:r w:rsidRPr="001B5DD6">
              <w:rPr>
                <w:rFonts w:ascii="Times New Roman" w:hAnsi="Times New Roman"/>
                <w:color w:val="0070C0"/>
              </w:rPr>
              <w:t xml:space="preserve"> ор., т.24, Горно-Алтайск к., 649000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тел. (388-22) 2-26-21, факс (388-22) 2-32-95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E-</w:t>
            </w:r>
            <w:proofErr w:type="spellStart"/>
            <w:r w:rsidRPr="001B5DD6">
              <w:rPr>
                <w:rFonts w:ascii="Times New Roman" w:hAnsi="Times New Roman"/>
                <w:color w:val="0070C0"/>
              </w:rPr>
              <w:t>mail</w:t>
            </w:r>
            <w:proofErr w:type="spellEnd"/>
            <w:r w:rsidRPr="001B5DD6">
              <w:rPr>
                <w:rFonts w:ascii="Times New Roman" w:hAnsi="Times New Roman"/>
                <w:color w:val="0070C0"/>
              </w:rPr>
              <w:t>: info@mf.altaigov.ru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www.minfin-altay.ru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ОКПО 00078212, ОГРН 1020400753438</w:t>
            </w:r>
          </w:p>
          <w:p w:rsidR="001B5DD6" w:rsidRPr="001B5DD6" w:rsidRDefault="001B5DD6" w:rsidP="001B5DD6">
            <w:pPr>
              <w:spacing w:after="0" w:afterAutospacing="0" w:line="240" w:lineRule="auto"/>
              <w:ind w:firstLine="0"/>
              <w:jc w:val="left"/>
              <w:rPr>
                <w:rFonts w:ascii="Times New Roman" w:hAnsi="Times New Roman"/>
                <w:color w:val="0070C0"/>
              </w:rPr>
            </w:pPr>
            <w:r w:rsidRPr="001B5DD6">
              <w:rPr>
                <w:rFonts w:ascii="Times New Roman" w:hAnsi="Times New Roman"/>
                <w:color w:val="0070C0"/>
              </w:rPr>
              <w:t>ИНН/КПП 0411005460/041101001</w:t>
            </w:r>
          </w:p>
        </w:tc>
      </w:tr>
    </w:tbl>
    <w:p w:rsidR="001B5DD6" w:rsidRPr="001B5DD6" w:rsidRDefault="001B5DD6" w:rsidP="001B5DD6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03" w:rsidRDefault="00652503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  <w:r w:rsidRPr="00A900A2">
        <w:rPr>
          <w:rFonts w:ascii="Times New Roman" w:hAnsi="Times New Roman"/>
          <w:sz w:val="28"/>
          <w:szCs w:val="28"/>
        </w:rPr>
        <w:t>ПРИКАЗ</w:t>
      </w:r>
    </w:p>
    <w:p w:rsidR="00462D0D" w:rsidRDefault="00462D0D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462D0D" w:rsidRPr="00A900A2" w:rsidRDefault="00462D0D" w:rsidP="00462D0D">
      <w:pPr>
        <w:pStyle w:val="ConsTitle"/>
        <w:widowControl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Default="00652503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1B5DD6">
        <w:rPr>
          <w:rFonts w:ascii="Times New Roman" w:hAnsi="Times New Roman" w:cs="Times New Roman"/>
          <w:sz w:val="28"/>
          <w:szCs w:val="28"/>
        </w:rPr>
        <w:t>_________ 2023</w:t>
      </w:r>
      <w:r w:rsidRPr="00A900A2">
        <w:rPr>
          <w:rFonts w:ascii="Times New Roman" w:hAnsi="Times New Roman" w:cs="Times New Roman"/>
          <w:sz w:val="28"/>
          <w:szCs w:val="28"/>
        </w:rPr>
        <w:t xml:space="preserve"> г. № ____</w:t>
      </w:r>
      <w:r w:rsidR="001B5DD6">
        <w:rPr>
          <w:rFonts w:ascii="Times New Roman" w:hAnsi="Times New Roman" w:cs="Times New Roman"/>
          <w:sz w:val="28"/>
          <w:szCs w:val="28"/>
        </w:rPr>
        <w:t>____</w:t>
      </w:r>
    </w:p>
    <w:p w:rsidR="00462D0D" w:rsidRPr="00A900A2" w:rsidRDefault="00462D0D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462D0D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52503" w:rsidRPr="00A900A2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900A2">
        <w:rPr>
          <w:sz w:val="28"/>
          <w:szCs w:val="28"/>
        </w:rPr>
        <w:t>О внесении изменени</w:t>
      </w:r>
      <w:r w:rsidR="00E432A0">
        <w:rPr>
          <w:sz w:val="28"/>
          <w:szCs w:val="28"/>
        </w:rPr>
        <w:t>й</w:t>
      </w:r>
      <w:r w:rsidRPr="00A900A2">
        <w:rPr>
          <w:sz w:val="28"/>
          <w:szCs w:val="28"/>
        </w:rPr>
        <w:t xml:space="preserve">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652503" w:rsidRDefault="00652503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462D0D" w:rsidRPr="00462D0D" w:rsidRDefault="00462D0D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A900A2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F39B9">
        <w:rPr>
          <w:rFonts w:ascii="Times New Roman" w:hAnsi="Times New Roman" w:cs="Times New Roman"/>
          <w:sz w:val="28"/>
          <w:szCs w:val="28"/>
        </w:rPr>
        <w:t>прилагаем</w:t>
      </w:r>
      <w:r w:rsidR="002F39B9" w:rsidRPr="002F39B9">
        <w:rPr>
          <w:rFonts w:ascii="Times New Roman" w:hAnsi="Times New Roman" w:cs="Times New Roman"/>
          <w:sz w:val="28"/>
          <w:szCs w:val="28"/>
        </w:rPr>
        <w:t>ы</w:t>
      </w:r>
      <w:r w:rsidRPr="002F39B9">
        <w:rPr>
          <w:rFonts w:ascii="Times New Roman" w:hAnsi="Times New Roman" w:cs="Times New Roman"/>
          <w:sz w:val="28"/>
          <w:szCs w:val="28"/>
        </w:rPr>
        <w:t>е</w:t>
      </w:r>
      <w:r w:rsidRPr="00A900A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900A2">
          <w:rPr>
            <w:rFonts w:ascii="Times New Roman" w:hAnsi="Times New Roman" w:cs="Times New Roman"/>
            <w:sz w:val="28"/>
            <w:szCs w:val="28"/>
          </w:rPr>
          <w:t>изменени</w:t>
        </w:r>
      </w:hyperlink>
      <w:r w:rsidR="00E432A0">
        <w:rPr>
          <w:rFonts w:ascii="Times New Roman" w:hAnsi="Times New Roman" w:cs="Times New Roman"/>
          <w:sz w:val="28"/>
          <w:szCs w:val="28"/>
        </w:rPr>
        <w:t>я, которые внося</w:t>
      </w:r>
      <w:r w:rsidRPr="00A900A2">
        <w:rPr>
          <w:rFonts w:ascii="Times New Roman" w:hAnsi="Times New Roman" w:cs="Times New Roman"/>
          <w:sz w:val="28"/>
          <w:szCs w:val="28"/>
        </w:rPr>
        <w:t xml:space="preserve">тся в Положение </w:t>
      </w:r>
      <w:r w:rsidR="004D7483">
        <w:rPr>
          <w:rFonts w:ascii="Times New Roman" w:hAnsi="Times New Roman" w:cs="Times New Roman"/>
          <w:sz w:val="28"/>
          <w:szCs w:val="28"/>
        </w:rPr>
        <w:br/>
      </w:r>
      <w:r w:rsidRPr="00A900A2">
        <w:rPr>
          <w:rFonts w:ascii="Times New Roman" w:hAnsi="Times New Roman" w:cs="Times New Roman"/>
          <w:sz w:val="28"/>
          <w:szCs w:val="28"/>
        </w:rPr>
        <w:t xml:space="preserve">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</w:t>
      </w:r>
      <w:r w:rsidR="004D7483">
        <w:rPr>
          <w:rFonts w:ascii="Times New Roman" w:hAnsi="Times New Roman" w:cs="Times New Roman"/>
          <w:sz w:val="28"/>
          <w:szCs w:val="28"/>
        </w:rPr>
        <w:br/>
      </w:r>
      <w:r w:rsidRPr="00A900A2">
        <w:rPr>
          <w:rFonts w:ascii="Times New Roman" w:hAnsi="Times New Roman" w:cs="Times New Roman"/>
          <w:sz w:val="28"/>
          <w:szCs w:val="28"/>
        </w:rPr>
        <w:t>от 13 августа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0A2">
        <w:rPr>
          <w:rFonts w:ascii="Times New Roman" w:hAnsi="Times New Roman" w:cs="Times New Roman"/>
          <w:sz w:val="28"/>
          <w:szCs w:val="28"/>
        </w:rPr>
        <w:t xml:space="preserve"> № 198-п.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34"/>
      </w:tblGrid>
      <w:tr w:rsidR="00652503" w:rsidRPr="00A900A2" w:rsidTr="00E432A0">
        <w:tc>
          <w:tcPr>
            <w:tcW w:w="2529" w:type="pct"/>
          </w:tcPr>
          <w:p w:rsidR="00652503" w:rsidRPr="00A900A2" w:rsidRDefault="00C150B9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71" w:type="pct"/>
          </w:tcPr>
          <w:p w:rsidR="00C150B9" w:rsidRDefault="00C150B9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0B9" w:rsidRDefault="00C150B9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3" w:rsidRPr="00A900A2" w:rsidRDefault="00C150B9" w:rsidP="00C150B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652503" w:rsidRDefault="00652503" w:rsidP="00652503">
      <w:pPr>
        <w:sectPr w:rsidR="00652503" w:rsidSect="002C1D6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652503" w:rsidRPr="00A900A2" w:rsidTr="001B5DD6">
        <w:trPr>
          <w:trHeight w:val="1391"/>
        </w:trPr>
        <w:tc>
          <w:tcPr>
            <w:tcW w:w="4672" w:type="dxa"/>
          </w:tcPr>
          <w:p w:rsidR="00652503" w:rsidRPr="00A900A2" w:rsidRDefault="00652503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652503" w:rsidRPr="00A900A2" w:rsidRDefault="00652503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E432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52503" w:rsidRPr="00A900A2" w:rsidRDefault="00462D0D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финансов </w:t>
            </w:r>
            <w:r w:rsidR="00652503" w:rsidRPr="00A900A2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652503" w:rsidRPr="00A900A2" w:rsidRDefault="00652503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462D0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1B5D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62D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90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B5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652503" w:rsidRPr="00A900A2" w:rsidRDefault="00652503" w:rsidP="00584FDE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432A0">
        <w:rPr>
          <w:rFonts w:ascii="Times New Roman" w:hAnsi="Times New Roman" w:cs="Times New Roman"/>
          <w:b/>
          <w:sz w:val="28"/>
          <w:szCs w:val="28"/>
        </w:rPr>
        <w:t>Я</w:t>
      </w:r>
      <w:r w:rsidRPr="00A900A2">
        <w:rPr>
          <w:rFonts w:ascii="Times New Roman" w:hAnsi="Times New Roman" w:cs="Times New Roman"/>
          <w:b/>
          <w:sz w:val="28"/>
          <w:szCs w:val="28"/>
        </w:rPr>
        <w:t>,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котор</w:t>
      </w:r>
      <w:r w:rsidR="00E432A0">
        <w:rPr>
          <w:rFonts w:ascii="Times New Roman" w:hAnsi="Times New Roman" w:cs="Times New Roman"/>
          <w:b/>
          <w:sz w:val="28"/>
          <w:szCs w:val="28"/>
        </w:rPr>
        <w:t>ы</w:t>
      </w:r>
      <w:r w:rsidRPr="00A900A2">
        <w:rPr>
          <w:rFonts w:ascii="Times New Roman" w:hAnsi="Times New Roman" w:cs="Times New Roman"/>
          <w:b/>
          <w:sz w:val="28"/>
          <w:szCs w:val="28"/>
        </w:rPr>
        <w:t>е внос</w:t>
      </w:r>
      <w:r w:rsidR="00E432A0">
        <w:rPr>
          <w:rFonts w:ascii="Times New Roman" w:hAnsi="Times New Roman" w:cs="Times New Roman"/>
          <w:b/>
          <w:sz w:val="28"/>
          <w:szCs w:val="28"/>
        </w:rPr>
        <w:t>я</w:t>
      </w:r>
      <w:r w:rsidRPr="00A900A2">
        <w:rPr>
          <w:rFonts w:ascii="Times New Roman" w:hAnsi="Times New Roman" w:cs="Times New Roman"/>
          <w:b/>
          <w:sz w:val="28"/>
          <w:szCs w:val="28"/>
        </w:rPr>
        <w:t xml:space="preserve">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</w:t>
      </w:r>
    </w:p>
    <w:p w:rsidR="00984717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от 13 августа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00A2">
        <w:rPr>
          <w:rFonts w:ascii="Times New Roman" w:hAnsi="Times New Roman" w:cs="Times New Roman"/>
          <w:b/>
          <w:sz w:val="28"/>
          <w:szCs w:val="28"/>
        </w:rPr>
        <w:t xml:space="preserve"> № 198-п</w:t>
      </w:r>
    </w:p>
    <w:p w:rsidR="00652503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F6" w:rsidRDefault="00F300B0" w:rsidP="00F300B0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1A9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131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70F6">
        <w:rPr>
          <w:rFonts w:ascii="Times New Roman" w:hAnsi="Times New Roman" w:cs="Times New Roman"/>
          <w:sz w:val="28"/>
          <w:szCs w:val="28"/>
        </w:rPr>
        <w:t>:</w:t>
      </w:r>
    </w:p>
    <w:p w:rsidR="00B753B2" w:rsidRPr="00B3749E" w:rsidRDefault="00B3749E" w:rsidP="00584FDE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B3749E">
        <w:rPr>
          <w:rFonts w:ascii="Times New Roman" w:hAnsi="Times New Roman" w:cs="Times New Roman"/>
          <w:sz w:val="28"/>
          <w:szCs w:val="28"/>
        </w:rPr>
        <w:t>в подпунктах «д» и «з»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3B2" w:rsidRPr="00B3749E">
        <w:rPr>
          <w:rFonts w:ascii="Times New Roman" w:hAnsi="Times New Roman" w:cs="Times New Roman"/>
          <w:sz w:val="28"/>
          <w:szCs w:val="28"/>
        </w:rPr>
        <w:t>после слов «государственных программ» дополнить словами «(комплексных программ)»;</w:t>
      </w:r>
    </w:p>
    <w:p w:rsidR="00B3749E" w:rsidRDefault="004770F6" w:rsidP="00131A96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0B0">
        <w:rPr>
          <w:rFonts w:ascii="Times New Roman" w:hAnsi="Times New Roman" w:cs="Times New Roman"/>
          <w:sz w:val="28"/>
          <w:szCs w:val="28"/>
        </w:rPr>
        <w:t>пункте 3</w:t>
      </w:r>
      <w:r w:rsidR="00B3749E">
        <w:rPr>
          <w:rFonts w:ascii="Times New Roman" w:hAnsi="Times New Roman" w:cs="Times New Roman"/>
          <w:sz w:val="28"/>
          <w:szCs w:val="28"/>
        </w:rPr>
        <w:t>:</w:t>
      </w:r>
    </w:p>
    <w:p w:rsidR="00B3749E" w:rsidRDefault="00B3749E" w:rsidP="00B3749E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после слов </w:t>
      </w:r>
      <w:r w:rsidRPr="00B3749E">
        <w:rPr>
          <w:rFonts w:ascii="Times New Roman" w:hAnsi="Times New Roman" w:cs="Times New Roman"/>
          <w:sz w:val="28"/>
          <w:szCs w:val="28"/>
        </w:rPr>
        <w:t>«государственных программ» дополнить словами «(комплексных программ)»;</w:t>
      </w:r>
    </w:p>
    <w:p w:rsidR="00131A96" w:rsidRDefault="00B3749E" w:rsidP="00B3749E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F300B0">
        <w:rPr>
          <w:rFonts w:ascii="Times New Roman" w:hAnsi="Times New Roman" w:cs="Times New Roman"/>
          <w:sz w:val="28"/>
          <w:szCs w:val="28"/>
        </w:rPr>
        <w:t>слова «</w:t>
      </w:r>
      <w:r w:rsidR="00F300B0" w:rsidRPr="00F300B0">
        <w:rPr>
          <w:rFonts w:ascii="Times New Roman" w:hAnsi="Times New Roman" w:cs="Times New Roman"/>
          <w:sz w:val="28"/>
          <w:szCs w:val="28"/>
        </w:rPr>
        <w:t>Администратор государственной программы</w:t>
      </w:r>
      <w:r w:rsidR="00F300B0">
        <w:rPr>
          <w:rFonts w:ascii="Times New Roman" w:hAnsi="Times New Roman" w:cs="Times New Roman"/>
          <w:sz w:val="28"/>
          <w:szCs w:val="28"/>
        </w:rPr>
        <w:t>» заменить словами «Ответственный</w:t>
      </w:r>
      <w:r w:rsidR="00F300B0" w:rsidRPr="00F300B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300B0">
        <w:rPr>
          <w:rFonts w:ascii="Times New Roman" w:hAnsi="Times New Roman" w:cs="Times New Roman"/>
          <w:sz w:val="28"/>
          <w:szCs w:val="28"/>
        </w:rPr>
        <w:t>ь</w:t>
      </w:r>
      <w:r w:rsidR="00F300B0" w:rsidRPr="00F300B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300B0">
        <w:rPr>
          <w:rFonts w:ascii="Times New Roman" w:hAnsi="Times New Roman" w:cs="Times New Roman"/>
          <w:sz w:val="28"/>
          <w:szCs w:val="28"/>
        </w:rPr>
        <w:t>ой</w:t>
      </w:r>
      <w:r w:rsidR="00F300B0" w:rsidRPr="00F300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300B0">
        <w:rPr>
          <w:rFonts w:ascii="Times New Roman" w:hAnsi="Times New Roman" w:cs="Times New Roman"/>
          <w:sz w:val="28"/>
          <w:szCs w:val="28"/>
        </w:rPr>
        <w:t>ы</w:t>
      </w:r>
      <w:r w:rsidR="00F300B0" w:rsidRPr="00F300B0">
        <w:rPr>
          <w:rFonts w:ascii="Times New Roman" w:hAnsi="Times New Roman" w:cs="Times New Roman"/>
          <w:sz w:val="28"/>
          <w:szCs w:val="28"/>
        </w:rPr>
        <w:t xml:space="preserve"> (комплексн</w:t>
      </w:r>
      <w:r w:rsidR="00F300B0">
        <w:rPr>
          <w:rFonts w:ascii="Times New Roman" w:hAnsi="Times New Roman" w:cs="Times New Roman"/>
          <w:sz w:val="28"/>
          <w:szCs w:val="28"/>
        </w:rPr>
        <w:t>ой</w:t>
      </w:r>
      <w:r w:rsidR="00F300B0" w:rsidRPr="00F300B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300B0">
        <w:rPr>
          <w:rFonts w:ascii="Times New Roman" w:hAnsi="Times New Roman" w:cs="Times New Roman"/>
          <w:sz w:val="28"/>
          <w:szCs w:val="28"/>
        </w:rPr>
        <w:t>ы</w:t>
      </w:r>
      <w:r w:rsidR="00F300B0" w:rsidRPr="00F300B0">
        <w:rPr>
          <w:rFonts w:ascii="Times New Roman" w:hAnsi="Times New Roman" w:cs="Times New Roman"/>
          <w:sz w:val="28"/>
          <w:szCs w:val="28"/>
        </w:rPr>
        <w:t>)</w:t>
      </w:r>
      <w:r w:rsidR="00F300B0">
        <w:rPr>
          <w:rFonts w:ascii="Times New Roman" w:hAnsi="Times New Roman" w:cs="Times New Roman"/>
          <w:sz w:val="28"/>
          <w:szCs w:val="28"/>
        </w:rPr>
        <w:t>»</w:t>
      </w:r>
      <w:r w:rsidR="004770F6">
        <w:rPr>
          <w:rFonts w:ascii="Times New Roman" w:hAnsi="Times New Roman" w:cs="Times New Roman"/>
          <w:sz w:val="28"/>
          <w:szCs w:val="28"/>
        </w:rPr>
        <w:t>;</w:t>
      </w:r>
    </w:p>
    <w:p w:rsidR="00B3749E" w:rsidRDefault="00B3749E" w:rsidP="00B3749E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абзацах третьем и четвертом после слов </w:t>
      </w:r>
      <w:r w:rsidRPr="00B3749E">
        <w:rPr>
          <w:rFonts w:ascii="Times New Roman" w:hAnsi="Times New Roman" w:cs="Times New Roman"/>
          <w:sz w:val="28"/>
          <w:szCs w:val="28"/>
        </w:rPr>
        <w:t>«государственн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749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749E">
        <w:rPr>
          <w:rFonts w:ascii="Times New Roman" w:hAnsi="Times New Roman" w:cs="Times New Roman"/>
          <w:sz w:val="28"/>
          <w:szCs w:val="28"/>
        </w:rPr>
        <w:t>» дополнить словами «(комплексн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749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749E">
        <w:rPr>
          <w:rFonts w:ascii="Times New Roman" w:hAnsi="Times New Roman" w:cs="Times New Roman"/>
          <w:sz w:val="28"/>
          <w:szCs w:val="28"/>
        </w:rPr>
        <w:t>)»;</w:t>
      </w:r>
    </w:p>
    <w:p w:rsidR="004770F6" w:rsidRPr="00131A96" w:rsidRDefault="004770F6" w:rsidP="00131A96">
      <w:pPr>
        <w:pStyle w:val="a4"/>
        <w:numPr>
          <w:ilvl w:val="0"/>
          <w:numId w:val="5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131A96">
        <w:rPr>
          <w:rFonts w:ascii="Times New Roman" w:hAnsi="Times New Roman" w:cs="Times New Roman"/>
          <w:sz w:val="28"/>
          <w:szCs w:val="28"/>
        </w:rPr>
        <w:t>в</w:t>
      </w:r>
      <w:r w:rsidR="00F300B0" w:rsidRPr="00131A96">
        <w:rPr>
          <w:rFonts w:ascii="Times New Roman" w:hAnsi="Times New Roman" w:cs="Times New Roman"/>
          <w:sz w:val="28"/>
          <w:szCs w:val="28"/>
        </w:rPr>
        <w:t xml:space="preserve"> пункте 6</w:t>
      </w:r>
      <w:r w:rsidRPr="00131A96">
        <w:rPr>
          <w:rFonts w:ascii="Times New Roman" w:hAnsi="Times New Roman" w:cs="Times New Roman"/>
          <w:sz w:val="28"/>
          <w:szCs w:val="28"/>
        </w:rPr>
        <w:t>:</w:t>
      </w:r>
    </w:p>
    <w:p w:rsidR="00F300B0" w:rsidRDefault="00F300B0" w:rsidP="004770F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«а</w:t>
      </w:r>
      <w:r w:rsidRPr="00F300B0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ам государственных</w:t>
      </w:r>
      <w:r w:rsidRPr="00F300B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» заменить словами «ответственным</w:t>
      </w:r>
      <w:r w:rsidRPr="00F300B0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300B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00B0">
        <w:rPr>
          <w:rFonts w:ascii="Times New Roman" w:hAnsi="Times New Roman" w:cs="Times New Roman"/>
          <w:sz w:val="28"/>
          <w:szCs w:val="28"/>
        </w:rPr>
        <w:t xml:space="preserve"> программ (комплексн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00B0">
        <w:rPr>
          <w:rFonts w:ascii="Times New Roman" w:hAnsi="Times New Roman" w:cs="Times New Roman"/>
          <w:sz w:val="28"/>
          <w:szCs w:val="28"/>
        </w:rPr>
        <w:t xml:space="preserve"> программ)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0F6">
        <w:rPr>
          <w:rFonts w:ascii="Times New Roman" w:hAnsi="Times New Roman" w:cs="Times New Roman"/>
          <w:sz w:val="28"/>
          <w:szCs w:val="28"/>
        </w:rPr>
        <w:t>;</w:t>
      </w:r>
    </w:p>
    <w:p w:rsidR="00131A96" w:rsidRDefault="004770F6" w:rsidP="00131A9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«соисполнителям государственных программ» заменить словами «</w:t>
      </w:r>
      <w:r w:rsidRPr="004770F6">
        <w:rPr>
          <w:rFonts w:ascii="Times New Roman" w:hAnsi="Times New Roman" w:cs="Times New Roman"/>
          <w:sz w:val="28"/>
          <w:szCs w:val="28"/>
        </w:rPr>
        <w:t>соисполнителям и</w:t>
      </w:r>
      <w:r w:rsidR="0009083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770F6">
        <w:rPr>
          <w:rFonts w:ascii="Times New Roman" w:hAnsi="Times New Roman" w:cs="Times New Roman"/>
          <w:sz w:val="28"/>
          <w:szCs w:val="28"/>
        </w:rPr>
        <w:t xml:space="preserve"> участникам государственных программ (комплексных программ)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1A96">
        <w:rPr>
          <w:rFonts w:ascii="Times New Roman" w:hAnsi="Times New Roman" w:cs="Times New Roman"/>
          <w:sz w:val="28"/>
          <w:szCs w:val="28"/>
        </w:rPr>
        <w:t>.</w:t>
      </w:r>
    </w:p>
    <w:p w:rsidR="00131A96" w:rsidRDefault="00131A96" w:rsidP="00131A96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1A96">
        <w:rPr>
          <w:rFonts w:ascii="Times New Roman" w:hAnsi="Times New Roman" w:cs="Times New Roman"/>
          <w:sz w:val="28"/>
          <w:szCs w:val="28"/>
        </w:rPr>
        <w:t>пункте 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70F6" w:rsidRDefault="004770F6" w:rsidP="004770F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4770F6" w:rsidRPr="004770F6" w:rsidRDefault="004770F6" w:rsidP="004770F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4770F6">
        <w:rPr>
          <w:rFonts w:ascii="Times New Roman" w:hAnsi="Times New Roman" w:cs="Times New Roman"/>
          <w:sz w:val="28"/>
          <w:szCs w:val="28"/>
        </w:rPr>
        <w:t>ГРБС, осуществляющие полномочия ответственного исполнителя государственной программы (комплексной программы) Республики Алтай, формируют и представляют в Министерство:</w:t>
      </w:r>
    </w:p>
    <w:p w:rsidR="004770F6" w:rsidRPr="004770F6" w:rsidRDefault="004770F6" w:rsidP="004770F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70F6">
        <w:rPr>
          <w:rFonts w:ascii="Times New Roman" w:hAnsi="Times New Roman" w:cs="Times New Roman"/>
          <w:sz w:val="28"/>
          <w:szCs w:val="28"/>
        </w:rPr>
        <w:t>пояснительную записку по форме согласно приложению № 5 к настоящему Положению;</w:t>
      </w:r>
    </w:p>
    <w:p w:rsidR="004770F6" w:rsidRPr="004770F6" w:rsidRDefault="004770F6" w:rsidP="004770F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70F6">
        <w:rPr>
          <w:rFonts w:ascii="Times New Roman" w:hAnsi="Times New Roman" w:cs="Times New Roman"/>
          <w:sz w:val="28"/>
          <w:szCs w:val="28"/>
        </w:rPr>
        <w:t>паспорт соответствующей государственной программы (комплексной программы)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0F6" w:rsidRDefault="004770F6" w:rsidP="004770F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770F6">
        <w:rPr>
          <w:rFonts w:ascii="Times New Roman" w:hAnsi="Times New Roman" w:cs="Times New Roman"/>
          <w:sz w:val="28"/>
          <w:szCs w:val="28"/>
        </w:rPr>
        <w:t xml:space="preserve">финансовое обеспечение соответствующей государственной программы (комплексной программы) Республики Алтай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4770F6">
        <w:rPr>
          <w:rFonts w:ascii="Times New Roman" w:hAnsi="Times New Roman" w:cs="Times New Roman"/>
          <w:sz w:val="28"/>
          <w:szCs w:val="28"/>
        </w:rPr>
        <w:t>№ 12.1 к настоящему Положению;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1A96" w:rsidRDefault="004770F6" w:rsidP="00131A9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слова «соисполнителями государственных программ» заменить словами «соисполнителями и (или) участниками государственных программ (комплексных программ)»;</w:t>
      </w:r>
    </w:p>
    <w:p w:rsidR="00131A96" w:rsidRDefault="004770F6" w:rsidP="00131A96">
      <w:pPr>
        <w:pStyle w:val="a4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31A96">
        <w:rPr>
          <w:rFonts w:ascii="Times New Roman" w:hAnsi="Times New Roman" w:cs="Times New Roman"/>
          <w:sz w:val="28"/>
          <w:szCs w:val="28"/>
        </w:rPr>
        <w:lastRenderedPageBreak/>
        <w:t>подпункт «д» исключить;</w:t>
      </w:r>
    </w:p>
    <w:p w:rsidR="00131A96" w:rsidRDefault="004770F6" w:rsidP="00131A96">
      <w:pPr>
        <w:pStyle w:val="a4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31A96">
        <w:rPr>
          <w:rFonts w:ascii="Times New Roman" w:hAnsi="Times New Roman" w:cs="Times New Roman"/>
          <w:sz w:val="28"/>
          <w:szCs w:val="28"/>
        </w:rPr>
        <w:t>в абзаце девятом слова «, «д»</w:t>
      </w:r>
      <w:r w:rsidR="00131A9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41DA5" w:rsidRDefault="00E41DA5" w:rsidP="00131A96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DA5" w:rsidRDefault="00E41DA5" w:rsidP="00E41DA5">
      <w:pPr>
        <w:pStyle w:val="a4"/>
        <w:numPr>
          <w:ilvl w:val="0"/>
          <w:numId w:val="8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19 и 20 </w:t>
      </w:r>
      <w:r w:rsidRPr="00E41DA5">
        <w:rPr>
          <w:rFonts w:ascii="Times New Roman" w:hAnsi="Times New Roman" w:cs="Times New Roman"/>
          <w:sz w:val="28"/>
          <w:szCs w:val="28"/>
        </w:rPr>
        <w:t>после слов «государственных программ» дополнить словами «(комплексных программ)»;</w:t>
      </w:r>
    </w:p>
    <w:p w:rsidR="00E41DA5" w:rsidRDefault="00E41DA5" w:rsidP="00E41DA5">
      <w:pPr>
        <w:pStyle w:val="a4"/>
        <w:numPr>
          <w:ilvl w:val="0"/>
          <w:numId w:val="8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подпунктах «з» и «р» пункта 25 </w:t>
      </w:r>
      <w:r w:rsidRPr="00E41DA5">
        <w:rPr>
          <w:rFonts w:ascii="Times New Roman" w:hAnsi="Times New Roman" w:cs="Times New Roman"/>
          <w:sz w:val="28"/>
          <w:szCs w:val="28"/>
        </w:rPr>
        <w:t>после слов «государственных программ» дополнить словами «(комплексных программ)»</w:t>
      </w:r>
      <w:r w:rsidR="009A4D96">
        <w:rPr>
          <w:rFonts w:ascii="Times New Roman" w:hAnsi="Times New Roman" w:cs="Times New Roman"/>
          <w:sz w:val="28"/>
          <w:szCs w:val="28"/>
        </w:rPr>
        <w:t>;</w:t>
      </w:r>
    </w:p>
    <w:p w:rsidR="009A4D96" w:rsidRDefault="009A4D96" w:rsidP="00E41DA5">
      <w:pPr>
        <w:pStyle w:val="a4"/>
        <w:numPr>
          <w:ilvl w:val="0"/>
          <w:numId w:val="8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38 изложить в следующей редакции:</w:t>
      </w:r>
    </w:p>
    <w:p w:rsidR="009A4D96" w:rsidRDefault="009A4D96" w:rsidP="009A4D96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«38. </w:t>
      </w:r>
      <w:r w:rsidRPr="009A4D96">
        <w:rPr>
          <w:rFonts w:ascii="Times New Roman" w:hAnsi="Times New Roman" w:cs="Times New Roman"/>
          <w:sz w:val="28"/>
          <w:szCs w:val="28"/>
        </w:rPr>
        <w:t>Объемы заимствований и объемы погашения государственного внутреннего долга Республики Алтай на очередной финансовый год и на плановый период рассчитываются на основании прогнозных размеров дефицита (профицита) республиканского бюджета Республики Алтай на очередной финансовый год и на плановый период, долговых обязательств, подлежащих гашению в соответствующих годах, и прогноза наступления временных кассовых разрывов, возникающих при исполнении республиканского бюджета Республики Алтай, с учетом ограничений, установленных Бюджетным кодексом по размеру государственного долга.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4D96" w:rsidRPr="00EA0133" w:rsidRDefault="009A4D96" w:rsidP="009A4D96">
      <w:pPr>
        <w:pStyle w:val="a4"/>
        <w:numPr>
          <w:ilvl w:val="0"/>
          <w:numId w:val="8"/>
        </w:numPr>
        <w:spacing w:after="0" w:afterAutospacing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A0133">
        <w:rPr>
          <w:rFonts w:ascii="Times New Roman" w:hAnsi="Times New Roman" w:cs="Times New Roman"/>
          <w:spacing w:val="-4"/>
          <w:sz w:val="28"/>
          <w:szCs w:val="28"/>
        </w:rPr>
        <w:t xml:space="preserve">в пункте 40 слова «ранее привлеченных заемных средств, а также вновь привлекаемых заемных средств со сроком погашения в очередном финансовом </w:t>
      </w:r>
      <w:r w:rsidRPr="00EA0133">
        <w:rPr>
          <w:rFonts w:ascii="Times New Roman" w:hAnsi="Times New Roman" w:cs="Times New Roman"/>
          <w:spacing w:val="-2"/>
          <w:sz w:val="28"/>
          <w:szCs w:val="28"/>
        </w:rPr>
        <w:t>году и плановом периоде» заменить словами «привлеченных заемных средств»;</w:t>
      </w:r>
    </w:p>
    <w:p w:rsidR="009A4D96" w:rsidRPr="009A4D96" w:rsidRDefault="009A4D96" w:rsidP="009A4D96">
      <w:pPr>
        <w:pStyle w:val="a4"/>
        <w:numPr>
          <w:ilvl w:val="0"/>
          <w:numId w:val="8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41 слова «</w:t>
      </w:r>
      <w:r w:rsidRPr="009A4D96">
        <w:rPr>
          <w:rFonts w:ascii="Times New Roman" w:hAnsi="Times New Roman" w:cs="Times New Roman"/>
          <w:sz w:val="28"/>
          <w:szCs w:val="28"/>
        </w:rPr>
        <w:t>по прогнозируемой ключевой ставке Центрального банка Российской Федерации, увеличенной на один процент годовых на календарный год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A4D96">
        <w:rPr>
          <w:rFonts w:ascii="Times New Roman" w:hAnsi="Times New Roman" w:cs="Times New Roman"/>
          <w:sz w:val="28"/>
          <w:szCs w:val="28"/>
        </w:rPr>
        <w:t>по ключевой ставке Центрального банка Российской Федерации, увеличенной на один процент годовых и прогнозируемый индекс потребительских цен на товары и услуги,»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A96" w:rsidRPr="00131A96" w:rsidRDefault="00131A96" w:rsidP="00131A96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A96" w:rsidRDefault="004770F6" w:rsidP="00131A96">
      <w:pPr>
        <w:pStyle w:val="a4"/>
        <w:numPr>
          <w:ilvl w:val="0"/>
          <w:numId w:val="7"/>
        </w:numPr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пункта 50 исключить;</w:t>
      </w:r>
    </w:p>
    <w:p w:rsidR="00B0010C" w:rsidRDefault="004770F6" w:rsidP="00584FDE">
      <w:pPr>
        <w:pStyle w:val="a4"/>
        <w:numPr>
          <w:ilvl w:val="0"/>
          <w:numId w:val="7"/>
        </w:numPr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1A96">
        <w:rPr>
          <w:rFonts w:ascii="Times New Roman" w:hAnsi="Times New Roman" w:cs="Times New Roman"/>
          <w:sz w:val="28"/>
          <w:szCs w:val="28"/>
        </w:rPr>
        <w:t>в подпункте «а» пункта 51 цифры «5,5» заменить цифрами «6,1»</w:t>
      </w:r>
      <w:r w:rsidR="00B0010C">
        <w:rPr>
          <w:rFonts w:ascii="Times New Roman" w:hAnsi="Times New Roman" w:cs="Times New Roman"/>
          <w:sz w:val="28"/>
          <w:szCs w:val="28"/>
        </w:rPr>
        <w:t>;</w:t>
      </w:r>
    </w:p>
    <w:p w:rsidR="00721A5C" w:rsidRDefault="00721A5C" w:rsidP="00584FDE">
      <w:pPr>
        <w:pStyle w:val="a4"/>
        <w:numPr>
          <w:ilvl w:val="0"/>
          <w:numId w:val="7"/>
        </w:numPr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55 цифры «4,5» заменить цифрами «4,9»;</w:t>
      </w:r>
    </w:p>
    <w:p w:rsidR="00B0010C" w:rsidRDefault="00B0010C" w:rsidP="00584FDE">
      <w:pPr>
        <w:pStyle w:val="a4"/>
        <w:numPr>
          <w:ilvl w:val="0"/>
          <w:numId w:val="7"/>
        </w:numPr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57:</w:t>
      </w:r>
    </w:p>
    <w:p w:rsidR="00B0010C" w:rsidRDefault="00B0010C" w:rsidP="00B0010C">
      <w:pPr>
        <w:pStyle w:val="a4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B0010C" w:rsidRDefault="00B0010C" w:rsidP="00B0010C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B0010C">
        <w:rPr>
          <w:rFonts w:ascii="Times New Roman" w:hAnsi="Times New Roman" w:cs="Times New Roman"/>
          <w:sz w:val="28"/>
          <w:szCs w:val="28"/>
        </w:rPr>
        <w:t>в рамках реализации комплекса процессных мероприятий, обеспечивающих создание условий для реализации государственных программ Республики Алтай, а также непрограммных направлений деятельности;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F6" w:rsidRDefault="00B0010C" w:rsidP="00B0010C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«д»:</w:t>
      </w:r>
    </w:p>
    <w:p w:rsidR="00B0010C" w:rsidRDefault="00B0010C" w:rsidP="00B0010C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010C">
        <w:rPr>
          <w:rFonts w:ascii="Times New Roman" w:hAnsi="Times New Roman" w:cs="Times New Roman"/>
          <w:sz w:val="28"/>
          <w:szCs w:val="28"/>
        </w:rPr>
        <w:t>в абзаце шестом слова «распоряжением Главы Республики Алтай, Председателя Правительства республики Алтай от 18 марта 2020 года № 155-рГ» заменить словами «распоряжениями Главы Республики Алтай, Председателя Правительства Республики Алтай от 30 января 2023 года № 47-рГ, от 30 января 2023 года № 48-рГ, от 30 января 2023 года № 49-рГ;»;</w:t>
      </w:r>
    </w:p>
    <w:p w:rsidR="00B0010C" w:rsidRPr="00B0010C" w:rsidRDefault="00B0010C" w:rsidP="00B0010C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010C">
        <w:rPr>
          <w:rFonts w:ascii="Times New Roman" w:hAnsi="Times New Roman" w:cs="Times New Roman"/>
          <w:sz w:val="28"/>
          <w:szCs w:val="28"/>
        </w:rPr>
        <w:t>дополнить абзацем одиннадцатым следующего содержания:</w:t>
      </w:r>
    </w:p>
    <w:p w:rsidR="00B0010C" w:rsidRPr="00131A96" w:rsidRDefault="00B0010C" w:rsidP="00B0010C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010C">
        <w:rPr>
          <w:rFonts w:ascii="Times New Roman" w:hAnsi="Times New Roman" w:cs="Times New Roman"/>
          <w:sz w:val="28"/>
          <w:szCs w:val="28"/>
        </w:rPr>
        <w:t>«Расходы на оплату труда работников государственных органов Республики Алтай учитываются в целых рублях с применением округления в соотве</w:t>
      </w:r>
      <w:r w:rsidR="00524E66">
        <w:rPr>
          <w:rFonts w:ascii="Times New Roman" w:hAnsi="Times New Roman" w:cs="Times New Roman"/>
          <w:sz w:val="28"/>
          <w:szCs w:val="28"/>
        </w:rPr>
        <w:t>тствии с правилами математики;».</w:t>
      </w:r>
    </w:p>
    <w:p w:rsidR="00E41DA5" w:rsidRDefault="00524E66" w:rsidP="00E41DA5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524E66" w:rsidRDefault="00524E66" w:rsidP="00524E6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E66">
        <w:rPr>
          <w:rFonts w:ascii="Times New Roman" w:hAnsi="Times New Roman" w:cs="Times New Roman"/>
          <w:sz w:val="28"/>
          <w:szCs w:val="28"/>
        </w:rPr>
        <w:lastRenderedPageBreak/>
        <w:t>после слов «государственной программы» дополнить словами «(комплексной программы)»;</w:t>
      </w:r>
    </w:p>
    <w:p w:rsidR="00524E66" w:rsidRDefault="00524E66" w:rsidP="00524E6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«администратора» заменить слово</w:t>
      </w:r>
      <w:r w:rsidRPr="00524E66">
        <w:rPr>
          <w:rFonts w:ascii="Times New Roman" w:hAnsi="Times New Roman" w:cs="Times New Roman"/>
          <w:sz w:val="28"/>
          <w:szCs w:val="28"/>
        </w:rPr>
        <w:t>м «ответственн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4E66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E66">
        <w:rPr>
          <w:rFonts w:ascii="Times New Roman" w:hAnsi="Times New Roman" w:cs="Times New Roman"/>
          <w:sz w:val="28"/>
          <w:szCs w:val="28"/>
        </w:rPr>
        <w:t>»;</w:t>
      </w:r>
    </w:p>
    <w:p w:rsidR="00524E66" w:rsidRPr="00524E66" w:rsidRDefault="00524E66" w:rsidP="00524E6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«(обеспечивающая подпрограмма ГП)» заменить словами «(комплекс процессных мероприятий)».</w:t>
      </w:r>
    </w:p>
    <w:p w:rsidR="00524E66" w:rsidRDefault="00524E66" w:rsidP="00524E66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2:</w:t>
      </w:r>
    </w:p>
    <w:p w:rsidR="00524E66" w:rsidRDefault="00524E66" w:rsidP="00524E6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24E66">
        <w:rPr>
          <w:rFonts w:ascii="Times New Roman" w:hAnsi="Times New Roman" w:cs="Times New Roman"/>
          <w:sz w:val="28"/>
          <w:szCs w:val="28"/>
        </w:rPr>
        <w:t>«соисполнител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4E66">
        <w:rPr>
          <w:rFonts w:ascii="Times New Roman" w:hAnsi="Times New Roman" w:cs="Times New Roman"/>
          <w:sz w:val="28"/>
          <w:szCs w:val="28"/>
        </w:rPr>
        <w:t>м государственных программ» заменить словами «соисполнит</w:t>
      </w:r>
      <w:r>
        <w:rPr>
          <w:rFonts w:ascii="Times New Roman" w:hAnsi="Times New Roman" w:cs="Times New Roman"/>
          <w:sz w:val="28"/>
          <w:szCs w:val="28"/>
        </w:rPr>
        <w:t>елем и</w:t>
      </w:r>
      <w:r w:rsidR="00A839F4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участнико</w:t>
      </w:r>
      <w:r w:rsidRPr="00524E66">
        <w:rPr>
          <w:rFonts w:ascii="Times New Roman" w:hAnsi="Times New Roman" w:cs="Times New Roman"/>
          <w:sz w:val="28"/>
          <w:szCs w:val="28"/>
        </w:rPr>
        <w:t>м государственных программ (комплексных программ)»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B03" w:rsidRDefault="00524E66" w:rsidP="00524E6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4E66">
        <w:rPr>
          <w:rFonts w:ascii="Times New Roman" w:hAnsi="Times New Roman" w:cs="Times New Roman"/>
          <w:sz w:val="28"/>
          <w:szCs w:val="28"/>
        </w:rPr>
        <w:t>после слов «государственн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4E66">
        <w:rPr>
          <w:rFonts w:ascii="Times New Roman" w:hAnsi="Times New Roman" w:cs="Times New Roman"/>
          <w:sz w:val="28"/>
          <w:szCs w:val="28"/>
        </w:rPr>
        <w:t xml:space="preserve"> программ» дополнить словами «(комплексн</w:t>
      </w:r>
      <w:r w:rsidR="00841B03">
        <w:rPr>
          <w:rFonts w:ascii="Times New Roman" w:hAnsi="Times New Roman" w:cs="Times New Roman"/>
          <w:sz w:val="28"/>
          <w:szCs w:val="28"/>
        </w:rPr>
        <w:t>ых</w:t>
      </w:r>
      <w:r w:rsidRPr="00524E66">
        <w:rPr>
          <w:rFonts w:ascii="Times New Roman" w:hAnsi="Times New Roman" w:cs="Times New Roman"/>
          <w:sz w:val="28"/>
          <w:szCs w:val="28"/>
        </w:rPr>
        <w:t xml:space="preserve"> программ)»</w:t>
      </w:r>
      <w:r w:rsidR="00841B03">
        <w:rPr>
          <w:rFonts w:ascii="Times New Roman" w:hAnsi="Times New Roman" w:cs="Times New Roman"/>
          <w:sz w:val="28"/>
          <w:szCs w:val="28"/>
        </w:rPr>
        <w:t>;</w:t>
      </w:r>
    </w:p>
    <w:p w:rsidR="00524E66" w:rsidRDefault="00841B03" w:rsidP="00524E66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B0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 «обеспечивающая подпрограмма</w:t>
      </w:r>
      <w:r w:rsidRPr="00841B03">
        <w:rPr>
          <w:rFonts w:ascii="Times New Roman" w:hAnsi="Times New Roman" w:cs="Times New Roman"/>
          <w:sz w:val="28"/>
          <w:szCs w:val="28"/>
        </w:rPr>
        <w:t>» заменить словами «комплекс процессных мероприятий».</w:t>
      </w:r>
    </w:p>
    <w:p w:rsidR="00841B03" w:rsidRDefault="00841B03" w:rsidP="00841B03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5:</w:t>
      </w:r>
    </w:p>
    <w:p w:rsidR="00841B03" w:rsidRDefault="00841B03" w:rsidP="00841B03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B0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B03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03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й программы» заменить словами «ответственного исполнителя</w:t>
      </w:r>
      <w:r w:rsidRPr="00841B03">
        <w:rPr>
          <w:rFonts w:ascii="Times New Roman" w:hAnsi="Times New Roman" w:cs="Times New Roman"/>
          <w:sz w:val="28"/>
          <w:szCs w:val="28"/>
        </w:rPr>
        <w:t xml:space="preserve"> государственной программы (комплексной программы)»;</w:t>
      </w:r>
    </w:p>
    <w:p w:rsidR="00841B03" w:rsidRDefault="00841B03" w:rsidP="00841B03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B0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B03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1B03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й программы» заменить словами «ответственным исполнителем</w:t>
      </w:r>
      <w:r w:rsidRPr="00841B03">
        <w:rPr>
          <w:rFonts w:ascii="Times New Roman" w:hAnsi="Times New Roman" w:cs="Times New Roman"/>
          <w:sz w:val="28"/>
          <w:szCs w:val="28"/>
        </w:rPr>
        <w:t xml:space="preserve"> государственной программы (комплексной программы)»;</w:t>
      </w:r>
    </w:p>
    <w:p w:rsidR="00A839F4" w:rsidRDefault="00A839F4" w:rsidP="00841B03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839F4">
        <w:rPr>
          <w:rFonts w:ascii="Times New Roman" w:hAnsi="Times New Roman" w:cs="Times New Roman"/>
          <w:sz w:val="28"/>
          <w:szCs w:val="28"/>
        </w:rPr>
        <w:t>Указанная ГП направлена на достижение следующей тактической цели социально-экономического развития Республики Алтай: _____________________________________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41B03" w:rsidRDefault="00841B03" w:rsidP="00841B03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B0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1B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АДМИНИСТРАТОРОМ ГП» заменить словами «ОТВЕТСТВЕННЫМ ИСПОЛНИТЕЛЕМ</w:t>
      </w:r>
      <w:r w:rsidRPr="0084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841B03">
        <w:rPr>
          <w:rFonts w:ascii="Times New Roman" w:hAnsi="Times New Roman" w:cs="Times New Roman"/>
          <w:sz w:val="28"/>
          <w:szCs w:val="28"/>
        </w:rPr>
        <w:t>»;</w:t>
      </w:r>
    </w:p>
    <w:p w:rsidR="00A839F4" w:rsidRDefault="00A839F4" w:rsidP="00841B03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«реализацию основного мероприятия» заменить словами «реализацию структурного элемента»;</w:t>
      </w:r>
    </w:p>
    <w:p w:rsidR="00A839F4" w:rsidRDefault="00A839F4" w:rsidP="00A839F4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839F4">
        <w:rPr>
          <w:rFonts w:ascii="Times New Roman" w:hAnsi="Times New Roman" w:cs="Times New Roman"/>
          <w:sz w:val="28"/>
          <w:szCs w:val="28"/>
        </w:rPr>
        <w:t>основного мероприятия позв</w:t>
      </w:r>
      <w:r>
        <w:rPr>
          <w:rFonts w:ascii="Times New Roman" w:hAnsi="Times New Roman" w:cs="Times New Roman"/>
          <w:sz w:val="28"/>
          <w:szCs w:val="28"/>
        </w:rPr>
        <w:t xml:space="preserve">олит достичь значения основных </w:t>
      </w:r>
      <w:r w:rsidRPr="00A839F4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839F4">
        <w:rPr>
          <w:rFonts w:ascii="Times New Roman" w:hAnsi="Times New Roman" w:cs="Times New Roman"/>
          <w:sz w:val="28"/>
          <w:szCs w:val="28"/>
        </w:rPr>
        <w:t>структурного элемента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достижение следующих»;</w:t>
      </w:r>
    </w:p>
    <w:p w:rsidR="00841B03" w:rsidRPr="00A839F4" w:rsidRDefault="00A839F4" w:rsidP="00A839F4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1B0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B03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нескольких» заменить словами «ответственного исполнителя нескольких».</w:t>
      </w:r>
    </w:p>
    <w:p w:rsidR="00633157" w:rsidRDefault="00633157" w:rsidP="00633157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6</w:t>
      </w:r>
      <w:r w:rsidR="00404566">
        <w:rPr>
          <w:rFonts w:ascii="Times New Roman" w:hAnsi="Times New Roman" w:cs="Times New Roman"/>
          <w:sz w:val="28"/>
          <w:szCs w:val="28"/>
        </w:rPr>
        <w:t>:</w:t>
      </w:r>
    </w:p>
    <w:p w:rsidR="00633157" w:rsidRDefault="00633157" w:rsidP="00633157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«соисполнителем Г</w:t>
      </w:r>
      <w:r w:rsidRPr="0063315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31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31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«соисполнителем и</w:t>
      </w:r>
      <w:r w:rsidR="00456EA1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участником государственной</w:t>
      </w:r>
      <w:r w:rsidRPr="006331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(комплексной</w:t>
      </w:r>
      <w:r w:rsidRPr="006331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4566">
        <w:rPr>
          <w:rFonts w:ascii="Times New Roman" w:hAnsi="Times New Roman" w:cs="Times New Roman"/>
          <w:sz w:val="28"/>
          <w:szCs w:val="28"/>
        </w:rPr>
        <w:t>)»;</w:t>
      </w:r>
    </w:p>
    <w:p w:rsidR="00456EA1" w:rsidRDefault="00456EA1" w:rsidP="00633157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«названной государственной программы» заменить словами «названной ГП»;</w:t>
      </w:r>
    </w:p>
    <w:p w:rsidR="00456EA1" w:rsidRDefault="00456EA1" w:rsidP="00633157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«основных мероприятий» заменить словами «структурных элементов»;</w:t>
      </w:r>
    </w:p>
    <w:p w:rsidR="00404566" w:rsidRDefault="00456EA1" w:rsidP="00090839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456EA1">
        <w:rPr>
          <w:rFonts w:ascii="Times New Roman" w:hAnsi="Times New Roman" w:cs="Times New Roman"/>
          <w:sz w:val="28"/>
          <w:szCs w:val="28"/>
        </w:rPr>
        <w:t>Основное мероприятие ____________, цель</w:t>
      </w:r>
      <w:r w:rsidR="00C325C8" w:rsidRPr="00456EA1">
        <w:rPr>
          <w:rFonts w:ascii="Times New Roman" w:hAnsi="Times New Roman" w:cs="Times New Roman"/>
          <w:sz w:val="28"/>
          <w:szCs w:val="28"/>
        </w:rPr>
        <w:t>____________,</w:t>
      </w:r>
      <w:r>
        <w:rPr>
          <w:rFonts w:ascii="Times New Roman" w:hAnsi="Times New Roman" w:cs="Times New Roman"/>
          <w:sz w:val="28"/>
          <w:szCs w:val="28"/>
        </w:rPr>
        <w:t>» заменить словами «Структурный элемент</w:t>
      </w:r>
      <w:r w:rsidR="00C325C8" w:rsidRPr="00456EA1">
        <w:rPr>
          <w:rFonts w:ascii="Times New Roman" w:hAnsi="Times New Roman" w:cs="Times New Roman"/>
          <w:sz w:val="28"/>
          <w:szCs w:val="28"/>
        </w:rPr>
        <w:t>____________,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5C8">
        <w:rPr>
          <w:rFonts w:ascii="Times New Roman" w:hAnsi="Times New Roman" w:cs="Times New Roman"/>
          <w:sz w:val="28"/>
          <w:szCs w:val="28"/>
        </w:rPr>
        <w:t>;</w:t>
      </w:r>
    </w:p>
    <w:p w:rsidR="00AA3873" w:rsidRPr="00A95CD7" w:rsidRDefault="00C325C8" w:rsidP="00A95CD7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AA3873" w:rsidRPr="00A95CD7" w:rsidSect="00B0010C">
          <w:pgSz w:w="11906" w:h="16838"/>
          <w:pgMar w:top="1134" w:right="567" w:bottom="993" w:left="1701" w:header="624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456EA1">
        <w:rPr>
          <w:rFonts w:ascii="Times New Roman" w:hAnsi="Times New Roman" w:cs="Times New Roman"/>
          <w:sz w:val="28"/>
          <w:szCs w:val="28"/>
        </w:rPr>
        <w:t>Основное мероприятие ____________, цель</w:t>
      </w:r>
      <w:r>
        <w:rPr>
          <w:rFonts w:ascii="Times New Roman" w:hAnsi="Times New Roman" w:cs="Times New Roman"/>
          <w:sz w:val="28"/>
          <w:szCs w:val="28"/>
        </w:rPr>
        <w:t xml:space="preserve"> ведомства» заменить словами «Структурный элемент»</w:t>
      </w:r>
      <w:r w:rsidRPr="00090839">
        <w:rPr>
          <w:rFonts w:ascii="Times New Roman" w:hAnsi="Times New Roman" w:cs="Times New Roman"/>
          <w:sz w:val="28"/>
          <w:szCs w:val="28"/>
        </w:rPr>
        <w:t>.</w:t>
      </w:r>
    </w:p>
    <w:p w:rsidR="00A95CD7" w:rsidRDefault="00A95CD7" w:rsidP="00A95CD7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F3528">
        <w:rPr>
          <w:rFonts w:ascii="Times New Roman" w:hAnsi="Times New Roman" w:cs="Times New Roman"/>
          <w:sz w:val="28"/>
          <w:szCs w:val="28"/>
        </w:rPr>
        <w:lastRenderedPageBreak/>
        <w:t>Подраздел 7.2 раздела 7 в Приложении № 8 изложить в следующей редакции</w:t>
      </w:r>
    </w:p>
    <w:p w:rsidR="00E37A2C" w:rsidRPr="00E37A2C" w:rsidRDefault="00E37A2C" w:rsidP="00E37A2C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7A2C">
        <w:rPr>
          <w:rFonts w:ascii="Times New Roman" w:hAnsi="Times New Roman" w:cs="Times New Roman"/>
          <w:sz w:val="28"/>
          <w:szCs w:val="28"/>
        </w:rPr>
        <w:t>7.2. РЕЕСТР</w:t>
      </w:r>
    </w:p>
    <w:p w:rsidR="00E37A2C" w:rsidRPr="00E37A2C" w:rsidRDefault="00E37A2C" w:rsidP="00E37A2C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организаций, подлежащего</w:t>
      </w:r>
    </w:p>
    <w:p w:rsidR="00E37A2C" w:rsidRPr="00E37A2C" w:rsidRDefault="00E37A2C" w:rsidP="00E37A2C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уплате в очередном финансовом году и плановом периоде</w:t>
      </w:r>
    </w:p>
    <w:p w:rsidR="00E37A2C" w:rsidRPr="00E37A2C" w:rsidRDefault="00E37A2C" w:rsidP="00E37A2C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37A2C" w:rsidRPr="00E37A2C" w:rsidRDefault="00E37A2C" w:rsidP="00E37A2C">
      <w:pPr>
        <w:pStyle w:val="a4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по ГРБС: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E37A2C" w:rsidRPr="00E37A2C" w:rsidRDefault="00E37A2C" w:rsidP="00E37A2C">
      <w:pPr>
        <w:pStyle w:val="a4"/>
        <w:spacing w:line="240" w:lineRule="auto"/>
        <w:ind w:left="709" w:firstLine="1418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ab/>
      </w:r>
      <w:r w:rsidRPr="00E37A2C">
        <w:rPr>
          <w:rFonts w:ascii="Times New Roman" w:hAnsi="Times New Roman" w:cs="Times New Roman"/>
          <w:sz w:val="20"/>
          <w:szCs w:val="28"/>
        </w:rPr>
        <w:t>(наименование ГРБС)</w:t>
      </w:r>
    </w:p>
    <w:p w:rsidR="00E37A2C" w:rsidRPr="00E37A2C" w:rsidRDefault="00E37A2C" w:rsidP="00E37A2C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Код ГРБС ____</w:t>
      </w:r>
    </w:p>
    <w:p w:rsidR="00E37A2C" w:rsidRPr="00E37A2C" w:rsidRDefault="00E37A2C" w:rsidP="00E37A2C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E37A2C" w:rsidRPr="00E37A2C" w:rsidRDefault="00E37A2C" w:rsidP="00E37A2C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Наименование бюджетного (автономного) учреждения Республики Алтай: _________________________</w:t>
      </w:r>
    </w:p>
    <w:p w:rsidR="00E37A2C" w:rsidRDefault="00E37A2C" w:rsidP="00E37A2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7.2.1. Реестр для расчета налога на имущество организаций, подлежащего уплате в очередном финансовом году и плановом периоде (на исполнение действующих расходных обязательств)</w:t>
      </w: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567"/>
        <w:gridCol w:w="708"/>
        <w:gridCol w:w="1418"/>
        <w:gridCol w:w="706"/>
        <w:gridCol w:w="708"/>
        <w:gridCol w:w="775"/>
        <w:gridCol w:w="788"/>
        <w:gridCol w:w="850"/>
        <w:gridCol w:w="772"/>
        <w:gridCol w:w="840"/>
        <w:gridCol w:w="718"/>
        <w:gridCol w:w="828"/>
        <w:gridCol w:w="1077"/>
        <w:gridCol w:w="648"/>
      </w:tblGrid>
      <w:tr w:rsidR="00E37A2C" w:rsidTr="004B45EA">
        <w:tc>
          <w:tcPr>
            <w:tcW w:w="704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34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4111" w:type="dxa"/>
            <w:gridSpan w:val="4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89" w:type="dxa"/>
            <w:gridSpan w:val="3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410" w:type="dxa"/>
            <w:gridSpan w:val="3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386" w:type="dxa"/>
            <w:gridSpan w:val="3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077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Примечание (в случае передачи и (или) продажи/отчуждения недвижимого имущества и т.д.)</w:t>
            </w:r>
          </w:p>
        </w:tc>
        <w:tc>
          <w:tcPr>
            <w:tcW w:w="648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4615"/>
            <w:bookmarkEnd w:id="0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</w:tr>
      <w:tr w:rsidR="00E37A2C" w:rsidTr="004B45EA">
        <w:trPr>
          <w:trHeight w:val="1223"/>
        </w:trPr>
        <w:tc>
          <w:tcPr>
            <w:tcW w:w="70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4616"/>
            <w:bookmarkEnd w:id="1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текущего финансов ого года, всего</w:t>
            </w:r>
          </w:p>
        </w:tc>
        <w:tc>
          <w:tcPr>
            <w:tcW w:w="2693" w:type="dxa"/>
            <w:gridSpan w:val="3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подлежащего налогообложению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алогом на имущество организаций</w:t>
            </w:r>
          </w:p>
        </w:tc>
        <w:tc>
          <w:tcPr>
            <w:tcW w:w="2189" w:type="dxa"/>
            <w:gridSpan w:val="3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rPr>
          <w:trHeight w:val="791"/>
        </w:trPr>
        <w:tc>
          <w:tcPr>
            <w:tcW w:w="70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70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 xml:space="preserve">по ставке 0,198% </w:t>
            </w:r>
          </w:p>
        </w:tc>
        <w:tc>
          <w:tcPr>
            <w:tcW w:w="141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освобождаемого от уплаты налога </w:t>
            </w:r>
          </w:p>
        </w:tc>
        <w:tc>
          <w:tcPr>
            <w:tcW w:w="2189" w:type="dxa"/>
            <w:gridSpan w:val="3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rPr>
          <w:trHeight w:val="212"/>
        </w:trPr>
        <w:tc>
          <w:tcPr>
            <w:tcW w:w="70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4621"/>
            <w:bookmarkEnd w:id="2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4622"/>
            <w:bookmarkEnd w:id="3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gridSpan w:val="2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88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22" w:type="dxa"/>
            <w:gridSpan w:val="2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40" w:type="dxa"/>
            <w:vMerge w:val="restart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6" w:type="dxa"/>
            <w:gridSpan w:val="2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77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4630"/>
            <w:bookmarkEnd w:id="4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775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4631"/>
            <w:bookmarkEnd w:id="5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0,198%</w:t>
            </w:r>
          </w:p>
        </w:tc>
        <w:tc>
          <w:tcPr>
            <w:tcW w:w="78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772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0,198 %</w:t>
            </w:r>
          </w:p>
        </w:tc>
        <w:tc>
          <w:tcPr>
            <w:tcW w:w="840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4634"/>
            <w:bookmarkEnd w:id="6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82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4635"/>
            <w:bookmarkEnd w:id="7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0,198%</w:t>
            </w:r>
          </w:p>
        </w:tc>
        <w:tc>
          <w:tcPr>
            <w:tcW w:w="1077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 xml:space="preserve">гр. 7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8 + гр. 9</w:t>
            </w:r>
          </w:p>
        </w:tc>
        <w:tc>
          <w:tcPr>
            <w:tcW w:w="70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8 =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4 x 2,2%</w:t>
            </w:r>
          </w:p>
        </w:tc>
        <w:tc>
          <w:tcPr>
            <w:tcW w:w="775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9 =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5 x 0,198%</w:t>
            </w:r>
          </w:p>
        </w:tc>
        <w:tc>
          <w:tcPr>
            <w:tcW w:w="78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10 =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11 + гр. 12</w:t>
            </w:r>
          </w:p>
        </w:tc>
        <w:tc>
          <w:tcPr>
            <w:tcW w:w="850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4640"/>
            <w:bookmarkEnd w:id="8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11 =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4 x 2,2%</w:t>
            </w:r>
          </w:p>
        </w:tc>
        <w:tc>
          <w:tcPr>
            <w:tcW w:w="772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4641"/>
            <w:bookmarkEnd w:id="9"/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12 =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5 x 0,198%</w:t>
            </w:r>
          </w:p>
        </w:tc>
        <w:tc>
          <w:tcPr>
            <w:tcW w:w="840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13 =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14 + гр. 15</w:t>
            </w:r>
          </w:p>
        </w:tc>
        <w:tc>
          <w:tcPr>
            <w:tcW w:w="71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14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= гр. 4 x 2,2%</w:t>
            </w:r>
          </w:p>
        </w:tc>
        <w:tc>
          <w:tcPr>
            <w:tcW w:w="82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гр. 15 = 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 5 x 0,198%</w:t>
            </w:r>
          </w:p>
        </w:tc>
        <w:tc>
          <w:tcPr>
            <w:tcW w:w="1077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E37A2C" w:rsidRPr="00E37A2C" w:rsidRDefault="00E37A2C" w:rsidP="00DA720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5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2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</w:tcPr>
          <w:p w:rsidR="00E37A2C" w:rsidRPr="00E37A2C" w:rsidRDefault="00E37A2C" w:rsidP="00DA72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A2C" w:rsidTr="004B45EA">
        <w:tc>
          <w:tcPr>
            <w:tcW w:w="704" w:type="dxa"/>
          </w:tcPr>
          <w:p w:rsidR="00E37A2C" w:rsidRPr="00E37A2C" w:rsidRDefault="00E37A2C" w:rsidP="00E37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E37A2C" w:rsidRPr="00E37A2C" w:rsidRDefault="00E37A2C" w:rsidP="00E37A2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A2C" w:rsidRDefault="00992ECC" w:rsidP="00992ECC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2ECC">
        <w:rPr>
          <w:rFonts w:ascii="Times New Roman" w:hAnsi="Times New Roman" w:cs="Times New Roman"/>
          <w:sz w:val="28"/>
          <w:szCs w:val="28"/>
        </w:rPr>
        <w:t>В случае применения специальных режимов налогообложения графы 4 - 17 не заполняются.</w:t>
      </w:r>
    </w:p>
    <w:p w:rsidR="00992ECC" w:rsidRDefault="00992ECC" w:rsidP="00992EC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2ECC">
        <w:rPr>
          <w:rFonts w:ascii="Times New Roman" w:hAnsi="Times New Roman" w:cs="Times New Roman"/>
          <w:sz w:val="28"/>
          <w:szCs w:val="28"/>
        </w:rPr>
        <w:t>7.2.2. Реестр для расчета налога на имущество организаций, подлежащего уплате в очередном финансовом году и плановом периоде (на исполнение принимаемых расходных обязательств) (заполняется в отношении недвижимого имущества, планируемого к передаче на праве оперативного управления)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850"/>
        <w:gridCol w:w="851"/>
        <w:gridCol w:w="1417"/>
        <w:gridCol w:w="567"/>
        <w:gridCol w:w="992"/>
        <w:gridCol w:w="1134"/>
        <w:gridCol w:w="709"/>
        <w:gridCol w:w="992"/>
        <w:gridCol w:w="993"/>
        <w:gridCol w:w="708"/>
        <w:gridCol w:w="993"/>
        <w:gridCol w:w="992"/>
        <w:gridCol w:w="379"/>
      </w:tblGrid>
      <w:tr w:rsidR="00DA720B" w:rsidRPr="00DA720B" w:rsidTr="004B45EA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имущества, учитываемого на балансе в качестве объектов основных средств или стоимость капитальных вложений в недвижимое имущество, 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379" w:type="dxa"/>
            <w:vMerge w:val="restart"/>
            <w:tcBorders>
              <w:lef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P4793"/>
            <w:bookmarkEnd w:id="10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</w:tr>
      <w:tr w:rsidR="00DA720B" w:rsidRPr="00DA720B" w:rsidTr="004B45EA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" w:name="P4794"/>
            <w:bookmarkEnd w:id="11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или стоимость капитальных вложений в недвижимое имущество, не подлежащее налогообложению налогом на имущество организаций в связи с применением специальных налоговых режимов, 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или стоимость капитальных вложений в недвижимое имущество , подлежащее налогообложению налогом на имущество организаций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20B" w:rsidRPr="00DA720B" w:rsidTr="004B45EA">
        <w:trPr>
          <w:trHeight w:val="52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ставке 2,2%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освобождаемого от уплаты налога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" w:name="P4799"/>
            <w:bookmarkEnd w:id="12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" w:name="P4800"/>
            <w:bookmarkEnd w:id="13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" w:name="P4808"/>
            <w:bookmarkEnd w:id="14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" w:name="P4809"/>
            <w:bookmarkEnd w:id="15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P4810"/>
            <w:bookmarkEnd w:id="16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P4811"/>
            <w:bookmarkEnd w:id="17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" w:name="P4812"/>
            <w:bookmarkEnd w:id="18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" w:name="P4813"/>
            <w:bookmarkEnd w:id="19"/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4B45EA" w:rsidTr="004B45EA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7 гр. 8 + гр.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8 = гр. 4 x 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9 = гр. 5 x 0,198%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10 = гр. 11 + гр.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11 = гр. 4 x 2,2%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12 = гр. 5 x 0,198%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13 = гр. 14 + гр.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14 = гр. 4 x 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15 = гр. 5 x 0,198%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:rsidR="00DA720B" w:rsidRPr="004B45EA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5EA" w:rsidRPr="00DA720B" w:rsidTr="004B45EA">
        <w:tc>
          <w:tcPr>
            <w:tcW w:w="56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</w:tcPr>
          <w:p w:rsidR="00DA720B" w:rsidRPr="00DA720B" w:rsidRDefault="00DA720B" w:rsidP="00DA720B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720B" w:rsidRDefault="004B45EA" w:rsidP="003F3528">
      <w:pPr>
        <w:pStyle w:val="a4"/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2ECC">
        <w:rPr>
          <w:rFonts w:ascii="Times New Roman" w:hAnsi="Times New Roman" w:cs="Times New Roman"/>
          <w:sz w:val="28"/>
          <w:szCs w:val="28"/>
        </w:rPr>
        <w:t>В случае применения специальных режимов налогообложения графы 4 - 17 не заполняются.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564"/>
        <w:gridCol w:w="397"/>
        <w:gridCol w:w="3231"/>
      </w:tblGrid>
      <w:tr w:rsidR="004B45EA" w:rsidRPr="004B45EA" w:rsidTr="004B45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5EA" w:rsidRPr="004B45EA" w:rsidTr="003F3528">
        <w:trPr>
          <w:trHeight w:val="1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4B45EA" w:rsidRPr="004B45EA" w:rsidTr="004B45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бухгалтер, экономист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5EA" w:rsidRPr="004B45EA" w:rsidTr="004B45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5EA" w:rsidRPr="004B45EA" w:rsidRDefault="004B45EA" w:rsidP="003F3528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4B45EA" w:rsidRPr="004B45EA" w:rsidTr="001478A2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5EA" w:rsidRDefault="004B45EA" w:rsidP="004B45EA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Исполнитель: (Ф.И.О., номер телефона)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F3528" w:rsidRPr="004B45EA" w:rsidRDefault="003F3528" w:rsidP="003F3528">
            <w:pPr>
              <w:pStyle w:val="a4"/>
              <w:numPr>
                <w:ilvl w:val="0"/>
                <w:numId w:val="4"/>
              </w:numPr>
              <w:spacing w:after="0" w:afterAutospacing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Приложением № 8.1 следующего содержания:</w:t>
            </w:r>
          </w:p>
        </w:tc>
      </w:tr>
    </w:tbl>
    <w:p w:rsidR="003F3528" w:rsidRDefault="003F3528" w:rsidP="003F3528">
      <w:pPr>
        <w:spacing w:after="0" w:afterAutospacing="0" w:line="240" w:lineRule="auto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8.1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о порядке и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34">
        <w:rPr>
          <w:rFonts w:ascii="Times New Roman" w:hAnsi="Times New Roman" w:cs="Times New Roman"/>
          <w:sz w:val="28"/>
          <w:szCs w:val="28"/>
        </w:rPr>
        <w:t>планирования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34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34">
        <w:rPr>
          <w:rFonts w:ascii="Times New Roman" w:hAnsi="Times New Roman" w:cs="Times New Roman"/>
          <w:sz w:val="28"/>
          <w:szCs w:val="28"/>
        </w:rPr>
        <w:t>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3F3528" w:rsidRPr="00867548" w:rsidRDefault="003F3528" w:rsidP="003F3528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48">
        <w:rPr>
          <w:rFonts w:ascii="Times New Roman" w:hAnsi="Times New Roman" w:cs="Times New Roman"/>
          <w:b/>
          <w:sz w:val="28"/>
          <w:szCs w:val="28"/>
        </w:rPr>
        <w:t>СВОД</w:t>
      </w:r>
    </w:p>
    <w:p w:rsidR="003F3528" w:rsidRDefault="003F3528" w:rsidP="003F3528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548">
        <w:rPr>
          <w:rFonts w:ascii="Times New Roman" w:hAnsi="Times New Roman" w:cs="Times New Roman"/>
          <w:b/>
          <w:sz w:val="28"/>
          <w:szCs w:val="28"/>
        </w:rPr>
        <w:t>сведений о планируемых объемах оказания государственных услуг (работ) государственными учреждениями Республики Алтай, а также свод обоснований бюджетных ассигнований на их финансовое обеспечени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F3528" w:rsidRPr="00867548" w:rsidRDefault="003F3528" w:rsidP="003F3528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8"/>
        <w:gridCol w:w="426"/>
        <w:gridCol w:w="567"/>
        <w:gridCol w:w="567"/>
        <w:gridCol w:w="567"/>
        <w:gridCol w:w="567"/>
        <w:gridCol w:w="1418"/>
        <w:gridCol w:w="992"/>
        <w:gridCol w:w="1134"/>
        <w:gridCol w:w="1276"/>
        <w:gridCol w:w="1134"/>
        <w:gridCol w:w="992"/>
        <w:gridCol w:w="992"/>
        <w:gridCol w:w="1559"/>
      </w:tblGrid>
      <w:tr w:rsidR="003F3528" w:rsidRPr="00FC5B58" w:rsidTr="001478A2">
        <w:trPr>
          <w:trHeight w:val="315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3402" w:type="dxa"/>
            <w:gridSpan w:val="6"/>
            <w:vMerge w:val="restart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кие данные за </w:t>
            </w:r>
            <w:proofErr w:type="spellStart"/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</w:t>
            </w:r>
            <w:proofErr w:type="spellEnd"/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ожидаемого исполнения за текущий 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очередной </w:t>
            </w:r>
            <w:proofErr w:type="spellStart"/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вый год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 планового периода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 планового периода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роста, % очередного финансового года к оценке ожидаемого исполнения  текущего финансового года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15=12/11*100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3F3528" w:rsidRPr="00FC5B58" w:rsidTr="001478A2">
        <w:trPr>
          <w:trHeight w:val="1919"/>
        </w:trPr>
        <w:tc>
          <w:tcPr>
            <w:tcW w:w="1838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3528" w:rsidRPr="00FC5B58" w:rsidTr="001478A2">
        <w:trPr>
          <w:trHeight w:val="164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F3528" w:rsidRPr="00FC5B58" w:rsidTr="001478A2">
        <w:trPr>
          <w:trHeight w:val="1185"/>
        </w:trPr>
        <w:tc>
          <w:tcPr>
            <w:tcW w:w="1838" w:type="dxa"/>
            <w:vMerge w:val="restart"/>
            <w:shd w:val="clear" w:color="000000" w:fill="FFFFFF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услуги (работы)</w:t>
            </w:r>
          </w:p>
        </w:tc>
        <w:tc>
          <w:tcPr>
            <w:tcW w:w="2694" w:type="dxa"/>
            <w:gridSpan w:val="5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11, 12, 13, 14 разряды – уникального кода государственной (муниципальной) услуги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Показателя объема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Показа-теля объема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Показатель объема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3528" w:rsidRPr="00FC5B58" w:rsidTr="001478A2">
        <w:trPr>
          <w:trHeight w:val="960"/>
        </w:trPr>
        <w:tc>
          <w:tcPr>
            <w:tcW w:w="1838" w:type="dxa"/>
            <w:vMerge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F3528" w:rsidRPr="00FC5B58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F3528" w:rsidRPr="00564423" w:rsidRDefault="003F3528" w:rsidP="001478A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6442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3528" w:rsidRPr="00FC5B58" w:rsidRDefault="003F3528" w:rsidP="001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B45EA" w:rsidRPr="001077D8" w:rsidRDefault="004B45EA" w:rsidP="002601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7D8">
        <w:rPr>
          <w:rFonts w:ascii="Times New Roman" w:hAnsi="Times New Roman" w:cs="Times New Roman"/>
          <w:sz w:val="28"/>
          <w:szCs w:val="28"/>
        </w:rPr>
        <w:t>Подраздел 7.</w:t>
      </w:r>
      <w:r w:rsidR="001077D8" w:rsidRPr="001077D8">
        <w:rPr>
          <w:rFonts w:ascii="Times New Roman" w:hAnsi="Times New Roman" w:cs="Times New Roman"/>
          <w:sz w:val="28"/>
          <w:szCs w:val="28"/>
        </w:rPr>
        <w:t>1 «7.1. Реестр для расчета налога на имущество организаций, подлежащего</w:t>
      </w:r>
      <w:r w:rsidR="001077D8">
        <w:rPr>
          <w:rFonts w:ascii="Times New Roman" w:hAnsi="Times New Roman" w:cs="Times New Roman"/>
          <w:sz w:val="28"/>
          <w:szCs w:val="28"/>
        </w:rPr>
        <w:t xml:space="preserve"> </w:t>
      </w:r>
      <w:r w:rsidR="001077D8" w:rsidRPr="001077D8">
        <w:rPr>
          <w:rFonts w:ascii="Times New Roman" w:hAnsi="Times New Roman" w:cs="Times New Roman"/>
          <w:sz w:val="28"/>
          <w:szCs w:val="28"/>
        </w:rPr>
        <w:t>уплате в очередном финансовом году и плановом периоде»</w:t>
      </w:r>
      <w:r w:rsidRPr="001077D8">
        <w:rPr>
          <w:rFonts w:ascii="Times New Roman" w:hAnsi="Times New Roman" w:cs="Times New Roman"/>
          <w:sz w:val="28"/>
          <w:szCs w:val="28"/>
        </w:rPr>
        <w:t xml:space="preserve"> раздела 7 в Приложении № 9 изложить в следующей редакции:</w:t>
      </w:r>
    </w:p>
    <w:p w:rsidR="004B45EA" w:rsidRPr="00E37A2C" w:rsidRDefault="004B45EA" w:rsidP="004B45EA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7A2C">
        <w:rPr>
          <w:rFonts w:ascii="Times New Roman" w:hAnsi="Times New Roman" w:cs="Times New Roman"/>
          <w:sz w:val="28"/>
          <w:szCs w:val="28"/>
        </w:rPr>
        <w:t>7.2. РЕЕСТР</w:t>
      </w:r>
    </w:p>
    <w:p w:rsidR="004B45EA" w:rsidRPr="00E37A2C" w:rsidRDefault="004B45EA" w:rsidP="004B45EA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организаций, подлежащего</w:t>
      </w:r>
    </w:p>
    <w:p w:rsidR="004B45EA" w:rsidRPr="00E37A2C" w:rsidRDefault="004B45EA" w:rsidP="004B45EA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уплате в очередном финансовом году и плановом периоде</w:t>
      </w:r>
    </w:p>
    <w:p w:rsidR="004B45EA" w:rsidRPr="00E37A2C" w:rsidRDefault="004B45EA" w:rsidP="004B45EA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B45EA" w:rsidRPr="00E37A2C" w:rsidRDefault="004B45EA" w:rsidP="004B45EA">
      <w:pPr>
        <w:pStyle w:val="a4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по ГРБС: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B45EA" w:rsidRPr="00E37A2C" w:rsidRDefault="004B45EA" w:rsidP="004B45EA">
      <w:pPr>
        <w:pStyle w:val="a4"/>
        <w:spacing w:line="240" w:lineRule="auto"/>
        <w:ind w:left="709" w:firstLine="1418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ab/>
      </w:r>
      <w:r w:rsidRPr="00E37A2C">
        <w:rPr>
          <w:rFonts w:ascii="Times New Roman" w:hAnsi="Times New Roman" w:cs="Times New Roman"/>
          <w:sz w:val="20"/>
          <w:szCs w:val="28"/>
        </w:rPr>
        <w:t>(наименование ГРБС)</w:t>
      </w:r>
    </w:p>
    <w:p w:rsidR="004B45EA" w:rsidRPr="00E37A2C" w:rsidRDefault="004B45EA" w:rsidP="004B45EA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Код ГРБС ____</w:t>
      </w:r>
    </w:p>
    <w:p w:rsidR="004B45EA" w:rsidRPr="001077D8" w:rsidRDefault="004B45EA" w:rsidP="001077D8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4B45EA" w:rsidRDefault="004B45EA" w:rsidP="004B45E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7.2.1. Реестр для расчета налога на имущество организаций, подлежащего уплате в очередном финансовом году и плановом периоде (на исполнение действующих расходных обязательств)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981"/>
        <w:gridCol w:w="1235"/>
        <w:gridCol w:w="510"/>
        <w:gridCol w:w="561"/>
        <w:gridCol w:w="1123"/>
        <w:gridCol w:w="446"/>
        <w:gridCol w:w="510"/>
        <w:gridCol w:w="561"/>
        <w:gridCol w:w="446"/>
        <w:gridCol w:w="510"/>
        <w:gridCol w:w="561"/>
        <w:gridCol w:w="446"/>
        <w:gridCol w:w="510"/>
        <w:gridCol w:w="561"/>
        <w:gridCol w:w="1413"/>
        <w:gridCol w:w="527"/>
        <w:gridCol w:w="764"/>
        <w:gridCol w:w="617"/>
        <w:gridCol w:w="672"/>
        <w:gridCol w:w="597"/>
      </w:tblGrid>
      <w:tr w:rsidR="00F435B5" w:rsidRPr="00E37A2C" w:rsidTr="00F435B5">
        <w:tc>
          <w:tcPr>
            <w:tcW w:w="346" w:type="pct"/>
            <w:vMerge w:val="restar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37" w:type="pct"/>
            <w:vMerge w:val="restar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1178" w:type="pct"/>
            <w:gridSpan w:val="4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1" w:type="pct"/>
            <w:gridSpan w:val="3"/>
            <w:vMerge w:val="restar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521" w:type="pct"/>
            <w:gridSpan w:val="3"/>
            <w:vMerge w:val="restar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521" w:type="pct"/>
            <w:gridSpan w:val="3"/>
            <w:vMerge w:val="restar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485" w:type="pct"/>
            <w:vMerge w:val="restar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Примечание (в случае передачи и (или) продажи/отчуждения недвижимого имущества и т.д.)</w:t>
            </w:r>
          </w:p>
        </w:tc>
        <w:tc>
          <w:tcPr>
            <w:tcW w:w="1091" w:type="pct"/>
            <w:gridSpan w:val="5"/>
            <w:vMerge w:val="restart"/>
          </w:tcPr>
          <w:p w:rsidR="001077D8" w:rsidRPr="001077D8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435B5" w:rsidRPr="00E37A2C" w:rsidTr="00F435B5">
        <w:trPr>
          <w:trHeight w:val="1223"/>
        </w:trPr>
        <w:tc>
          <w:tcPr>
            <w:tcW w:w="346" w:type="pct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на 1 июля текущего финансов</w:t>
            </w: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ого года, всего</w:t>
            </w:r>
          </w:p>
        </w:tc>
        <w:tc>
          <w:tcPr>
            <w:tcW w:w="753" w:type="pct"/>
            <w:gridSpan w:val="3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подлежащего налогообложению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алогом на имущество организаций</w:t>
            </w:r>
          </w:p>
        </w:tc>
        <w:tc>
          <w:tcPr>
            <w:tcW w:w="521" w:type="pct"/>
            <w:gridSpan w:val="3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rPr>
          <w:trHeight w:val="1049"/>
        </w:trPr>
        <w:tc>
          <w:tcPr>
            <w:tcW w:w="346" w:type="pct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 xml:space="preserve">по ставке 0,198% </w:t>
            </w:r>
          </w:p>
        </w:tc>
        <w:tc>
          <w:tcPr>
            <w:tcW w:w="386" w:type="pct"/>
          </w:tcPr>
          <w:p w:rsidR="001077D8" w:rsidRPr="00E37A2C" w:rsidRDefault="001077D8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освобождаемого от уплаты налога </w:t>
            </w:r>
          </w:p>
        </w:tc>
        <w:tc>
          <w:tcPr>
            <w:tcW w:w="521" w:type="pct"/>
            <w:gridSpan w:val="3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</w:tcPr>
          <w:p w:rsidR="001077D8" w:rsidRPr="00E37A2C" w:rsidRDefault="001077D8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rPr>
          <w:trHeight w:val="212"/>
        </w:trPr>
        <w:tc>
          <w:tcPr>
            <w:tcW w:w="346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 w:val="restar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3" w:type="pct"/>
            <w:vMerge w:val="restar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vMerge w:val="restar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" w:type="pct"/>
            <w:vMerge w:val="restar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3" w:type="pct"/>
            <w:vMerge w:val="restar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3" w:type="pct"/>
            <w:vMerge w:val="restar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85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7D8" w:rsidRPr="001077D8" w:rsidRDefault="001077D8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7D8" w:rsidRPr="001077D8" w:rsidRDefault="001077D8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7D8" w:rsidRPr="001077D8" w:rsidRDefault="001077D8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7D8" w:rsidRPr="001077D8" w:rsidRDefault="001077D8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7D8" w:rsidRPr="001077D8" w:rsidRDefault="001077D8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</w:tr>
      <w:tr w:rsidR="00F435B5" w:rsidRPr="00E37A2C" w:rsidTr="00F435B5">
        <w:tc>
          <w:tcPr>
            <w:tcW w:w="346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0,198%</w:t>
            </w:r>
          </w:p>
        </w:tc>
        <w:tc>
          <w:tcPr>
            <w:tcW w:w="153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0,198 %</w:t>
            </w:r>
          </w:p>
        </w:tc>
        <w:tc>
          <w:tcPr>
            <w:tcW w:w="153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0,198%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7 гр. 8 + гр. 9</w:t>
            </w:r>
          </w:p>
        </w:tc>
        <w:tc>
          <w:tcPr>
            <w:tcW w:w="175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8 = гр. 4 x 2,2%</w:t>
            </w:r>
          </w:p>
        </w:tc>
        <w:tc>
          <w:tcPr>
            <w:tcW w:w="193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9 = гр. 5 x 0,198%</w:t>
            </w:r>
          </w:p>
        </w:tc>
        <w:tc>
          <w:tcPr>
            <w:tcW w:w="153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10 = гр. 11 + гр. 12</w:t>
            </w:r>
          </w:p>
        </w:tc>
        <w:tc>
          <w:tcPr>
            <w:tcW w:w="175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11 = гр. 4 x 2,2%</w:t>
            </w:r>
          </w:p>
        </w:tc>
        <w:tc>
          <w:tcPr>
            <w:tcW w:w="193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12 = гр. 5 x 0,198%</w:t>
            </w:r>
          </w:p>
        </w:tc>
        <w:tc>
          <w:tcPr>
            <w:tcW w:w="153" w:type="pct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13 = гр. 14 + гр.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14 = гр. 4 x 2,2%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15 = гр. 5 x 0,198%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1077D8" w:rsidRPr="00E37A2C" w:rsidRDefault="001077D8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B5" w:rsidRPr="00E37A2C" w:rsidTr="00F435B5">
        <w:tc>
          <w:tcPr>
            <w:tcW w:w="346" w:type="pct"/>
          </w:tcPr>
          <w:p w:rsidR="00F435B5" w:rsidRPr="00E37A2C" w:rsidRDefault="00F435B5" w:rsidP="00107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37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F435B5" w:rsidRPr="00E37A2C" w:rsidRDefault="00F435B5" w:rsidP="001077D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5B5" w:rsidRDefault="00F435B5" w:rsidP="00F435B5">
      <w:pPr>
        <w:pStyle w:val="a4"/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2ECC">
        <w:rPr>
          <w:rFonts w:ascii="Times New Roman" w:hAnsi="Times New Roman" w:cs="Times New Roman"/>
          <w:sz w:val="28"/>
          <w:szCs w:val="28"/>
        </w:rPr>
        <w:t xml:space="preserve">В случае применения специальных режимов налогообложения графы 4 - </w:t>
      </w:r>
      <w:r w:rsidR="00EA0133">
        <w:rPr>
          <w:rFonts w:ascii="Times New Roman" w:hAnsi="Times New Roman" w:cs="Times New Roman"/>
          <w:sz w:val="28"/>
          <w:szCs w:val="28"/>
        </w:rPr>
        <w:t>2</w:t>
      </w:r>
      <w:r w:rsidRPr="00992ECC">
        <w:rPr>
          <w:rFonts w:ascii="Times New Roman" w:hAnsi="Times New Roman" w:cs="Times New Roman"/>
          <w:sz w:val="28"/>
          <w:szCs w:val="28"/>
        </w:rPr>
        <w:t>1 не заполняются.</w:t>
      </w:r>
    </w:p>
    <w:p w:rsidR="00F435B5" w:rsidRDefault="00F435B5" w:rsidP="00F435B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2ECC">
        <w:rPr>
          <w:rFonts w:ascii="Times New Roman" w:hAnsi="Times New Roman" w:cs="Times New Roman"/>
          <w:sz w:val="28"/>
          <w:szCs w:val="28"/>
        </w:rPr>
        <w:t>7.2.2. Реестр для расчета налога на имущество организаций, подлежащего уплате в очередном финансовом году и плановом периоде (на исполнение принимаемых расходных обязательств) (заполняется в отношении недвижимого имущества, планируемого к передаче на праве оперативного управления)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8"/>
        <w:gridCol w:w="1086"/>
        <w:gridCol w:w="1373"/>
        <w:gridCol w:w="558"/>
        <w:gridCol w:w="615"/>
        <w:gridCol w:w="1247"/>
        <w:gridCol w:w="577"/>
        <w:gridCol w:w="558"/>
        <w:gridCol w:w="615"/>
        <w:gridCol w:w="486"/>
        <w:gridCol w:w="558"/>
        <w:gridCol w:w="615"/>
        <w:gridCol w:w="486"/>
        <w:gridCol w:w="558"/>
        <w:gridCol w:w="615"/>
        <w:gridCol w:w="577"/>
        <w:gridCol w:w="844"/>
        <w:gridCol w:w="678"/>
        <w:gridCol w:w="740"/>
        <w:gridCol w:w="656"/>
      </w:tblGrid>
      <w:tr w:rsidR="00F435B5" w:rsidRPr="00DA720B" w:rsidTr="00F435B5">
        <w:tc>
          <w:tcPr>
            <w:tcW w:w="384" w:type="pct"/>
            <w:vMerge w:val="restart"/>
            <w:tcBorders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35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имущества, учитываемого на балансе в качестве объектов основных средств  или стоимость капитальных вложени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 в недвижимое имущество, всего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200" w:type="pct"/>
            <w:gridSpan w:val="5"/>
            <w:vMerge w:val="restart"/>
            <w:tcBorders>
              <w:left w:val="single" w:sz="4" w:space="0" w:color="auto"/>
            </w:tcBorders>
          </w:tcPr>
          <w:p w:rsidR="00F435B5" w:rsidRPr="001077D8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  <w:p w:rsidR="00F435B5" w:rsidRPr="00E37A2C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435B5" w:rsidRPr="00DA720B" w:rsidTr="00F435B5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35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 или стоимость капитальных вложений в недвижимое имущество, не подлежащее налогообложению налогом на имущество организаций в связи с применением специ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альных налоговых режимов, всего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35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или стоимость капитальных вложений в недвижимое имущество, подлежащее налогообложению 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алогом на имущество организаций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5"/>
            <w:vMerge/>
            <w:tcBorders>
              <w:lef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rPr>
          <w:trHeight w:val="521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ставке 2,2%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освобождаемого от уплаты налога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5"/>
            <w:vMerge/>
            <w:tcBorders>
              <w:lef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B5" w:rsidRPr="001077D8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</w:tcBorders>
            <w:vAlign w:val="center"/>
          </w:tcPr>
          <w:p w:rsidR="00F435B5" w:rsidRPr="001077D8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</w:tcBorders>
            <w:vAlign w:val="center"/>
          </w:tcPr>
          <w:p w:rsidR="00F435B5" w:rsidRPr="001077D8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</w:tcBorders>
            <w:vAlign w:val="center"/>
          </w:tcPr>
          <w:p w:rsidR="00F435B5" w:rsidRPr="001077D8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  <w:vAlign w:val="center"/>
          </w:tcPr>
          <w:p w:rsidR="00F435B5" w:rsidRPr="001077D8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</w:tcBorders>
            <w:vAlign w:val="center"/>
          </w:tcPr>
          <w:p w:rsidR="00F435B5" w:rsidRPr="001077D8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</w:tr>
      <w:tr w:rsidR="00F435B5" w:rsidRPr="00DA720B" w:rsidTr="00F435B5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198" w:type="pct"/>
            <w:vMerge/>
            <w:tcBorders>
              <w:lef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4B45EA" w:rsidTr="00F435B5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8 = гр. 4 x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9 = гр. 5 x 0,198%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10 = гр. 11 + гр. 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11 = гр. 4 x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12 = гр. 5 x 0,198%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13 = гр. 14 + гр. 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14 = гр. 4 x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15 = гр. 5 x 0,198%</w:t>
            </w:r>
          </w:p>
        </w:tc>
        <w:tc>
          <w:tcPr>
            <w:tcW w:w="198" w:type="pct"/>
            <w:vMerge/>
            <w:tcBorders>
              <w:lef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F435B5" w:rsidRPr="004B45EA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6E11EA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" w:type="pct"/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" w:type="pct"/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pct"/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" w:type="pct"/>
            <w:vAlign w:val="center"/>
          </w:tcPr>
          <w:p w:rsidR="00F435B5" w:rsidRPr="00F435B5" w:rsidRDefault="00F435B5" w:rsidP="00F43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35B5" w:rsidRPr="00DA720B" w:rsidTr="00F435B5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5B5" w:rsidRPr="00DA720B" w:rsidTr="00F435B5">
        <w:tc>
          <w:tcPr>
            <w:tcW w:w="38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E37A2C" w:rsidRDefault="00F435B5" w:rsidP="00F43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F435B5" w:rsidRPr="00DA720B" w:rsidRDefault="00F435B5" w:rsidP="00F435B5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35B5" w:rsidRDefault="00F435B5" w:rsidP="00F435B5">
      <w:pPr>
        <w:pStyle w:val="a4"/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2ECC">
        <w:rPr>
          <w:rFonts w:ascii="Times New Roman" w:hAnsi="Times New Roman" w:cs="Times New Roman"/>
          <w:sz w:val="28"/>
          <w:szCs w:val="28"/>
        </w:rPr>
        <w:t>В случае применения специальных режим</w:t>
      </w:r>
      <w:r w:rsidR="00EA0133">
        <w:rPr>
          <w:rFonts w:ascii="Times New Roman" w:hAnsi="Times New Roman" w:cs="Times New Roman"/>
          <w:sz w:val="28"/>
          <w:szCs w:val="28"/>
        </w:rPr>
        <w:t>ов налогообложения графы 4 - 20</w:t>
      </w:r>
      <w:r w:rsidRPr="00992ECC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564"/>
        <w:gridCol w:w="397"/>
        <w:gridCol w:w="3231"/>
      </w:tblGrid>
      <w:tr w:rsidR="00EA0133" w:rsidRPr="004B45EA" w:rsidTr="001478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33" w:rsidRPr="004B45EA" w:rsidTr="00EA0133">
        <w:trPr>
          <w:trHeight w:val="1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EA0133" w:rsidRPr="004B45EA" w:rsidTr="00EA0133"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бухгалтер, экономист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33" w:rsidRPr="004B45EA" w:rsidTr="001478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EA0133" w:rsidRPr="004B45EA" w:rsidTr="001478A2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33" w:rsidRPr="00EA0133" w:rsidRDefault="00EA0133" w:rsidP="00EA0133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Исполнитель: (Ф.И.О., номер телефона)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15D1C" w:rsidRDefault="00AE6534" w:rsidP="00EA0133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№ 12.1 следующего содержания:</w:t>
      </w:r>
    </w:p>
    <w:p w:rsidR="00AE6534" w:rsidRDefault="00AE6534" w:rsidP="00990989">
      <w:pPr>
        <w:pStyle w:val="a4"/>
        <w:spacing w:after="0" w:afterAutospacing="0" w:line="240" w:lineRule="auto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AE6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о порядке и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34">
        <w:rPr>
          <w:rFonts w:ascii="Times New Roman" w:hAnsi="Times New Roman" w:cs="Times New Roman"/>
          <w:sz w:val="28"/>
          <w:szCs w:val="28"/>
        </w:rPr>
        <w:t>планирования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34">
        <w:rPr>
          <w:rFonts w:ascii="Times New Roman" w:hAnsi="Times New Roman" w:cs="Times New Roman"/>
          <w:sz w:val="28"/>
          <w:szCs w:val="28"/>
        </w:rPr>
        <w:t>ассигнований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34">
        <w:rPr>
          <w:rFonts w:ascii="Times New Roman" w:hAnsi="Times New Roman" w:cs="Times New Roman"/>
          <w:sz w:val="28"/>
          <w:szCs w:val="28"/>
        </w:rPr>
        <w:t>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E6534">
        <w:rPr>
          <w:rFonts w:ascii="Times New Roman" w:hAnsi="Times New Roman" w:cs="Times New Roman"/>
          <w:sz w:val="28"/>
          <w:szCs w:val="28"/>
        </w:rPr>
        <w:t>и на плановый период</w:t>
      </w:r>
    </w:p>
    <w:p w:rsidR="00AE6534" w:rsidRDefault="00AE6534" w:rsidP="00AE6534">
      <w:pPr>
        <w:spacing w:after="0" w:afterAutospacing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534" w:rsidRDefault="00AE6534" w:rsidP="00AE6534">
      <w:pPr>
        <w:spacing w:after="0" w:afterAutospacing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государственной программы (комплексной программы)</w:t>
      </w:r>
    </w:p>
    <w:p w:rsidR="00990989" w:rsidRPr="00C23279" w:rsidRDefault="00990989" w:rsidP="00AE6534">
      <w:pPr>
        <w:spacing w:after="0" w:afterAutospacing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926"/>
        <w:gridCol w:w="993"/>
        <w:gridCol w:w="990"/>
        <w:gridCol w:w="996"/>
        <w:gridCol w:w="1275"/>
        <w:gridCol w:w="1380"/>
      </w:tblGrid>
      <w:tr w:rsidR="00AE6534" w:rsidRPr="00611DF6" w:rsidTr="00867548">
        <w:trPr>
          <w:trHeight w:val="20"/>
        </w:trPr>
        <w:tc>
          <w:tcPr>
            <w:tcW w:w="3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 (комплексной программы), структурного элемента / источник финансового обеспечения</w:t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N+1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N+n</w:t>
            </w:r>
            <w:proofErr w:type="spell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Государственная программа (комплексная программа) (всего), в том числе: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Республики Алтай (всего), из них: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местным бюджетам</w:t>
            </w:r>
            <w:bookmarkStart w:id="20" w:name="_Ref128589366"/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bookmarkEnd w:id="20"/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Бюджет территориальных государственных внебюджетных фондов (бюджеты территориальных фондов обязательного медицинского страхования</w:t>
            </w:r>
            <w:r w:rsidRPr="00611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муниципальных образований в Республике Алтай (справочно), из них: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Del="001560FC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республиканскому бюджету Республики Алтай</w:t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61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(справочно)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налоговых расходов субъекта Российской Федерации (справочно)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Структурный элемент «___________» (наименование) (всего), в том числе: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Республики Алтай (всего), из них: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местным бюджетам</w:t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территориальных государственных внебюджетных фондов Российской Федерации</w:t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Бюджет территориальных государственных внебюджетных фондов (бюджеты территориальных фондов обязательного медицинского страхования</w:t>
            </w:r>
            <w:r w:rsidRPr="00611D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муниципальных образований в Республике Алтай (справочно), из них: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0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Del="001560FC" w:rsidRDefault="00AE6534" w:rsidP="00990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республиканскому бюджету Республики Алтай</w:t>
            </w: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  <w:r w:rsidRPr="0061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989" w:rsidRPr="00611DF6" w:rsidTr="00867548">
        <w:trPr>
          <w:trHeight w:val="283"/>
        </w:trPr>
        <w:tc>
          <w:tcPr>
            <w:tcW w:w="3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(справочно)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34" w:rsidRPr="00611DF6" w:rsidRDefault="00AE6534" w:rsidP="0058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423" w:rsidRPr="00FF4AEB" w:rsidRDefault="00564423" w:rsidP="00564423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E6534" w:rsidRDefault="00AE6534" w:rsidP="00564423">
      <w:pPr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государственной программы (комплексной программы) за счет бюджетных ассигнований по источникам финансирования дефицита бюджета Республики Алтай</w:t>
      </w:r>
    </w:p>
    <w:p w:rsidR="00FF4AEB" w:rsidRPr="00990989" w:rsidRDefault="00FF4AEB" w:rsidP="00FF4AEB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00"/>
        <w:gridCol w:w="1278"/>
        <w:gridCol w:w="1275"/>
        <w:gridCol w:w="1133"/>
        <w:gridCol w:w="1133"/>
        <w:gridCol w:w="1241"/>
      </w:tblGrid>
      <w:tr w:rsidR="00AE6534" w:rsidRPr="00611DF6" w:rsidTr="00A95CD7">
        <w:trPr>
          <w:trHeight w:val="340"/>
        </w:trPr>
        <w:tc>
          <w:tcPr>
            <w:tcW w:w="2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элемента /источник финансового обеспечения</w:t>
            </w: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B753B2" w:rsidRPr="00611DF6" w:rsidTr="00FF4AEB">
        <w:trPr>
          <w:trHeight w:val="80"/>
        </w:trPr>
        <w:tc>
          <w:tcPr>
            <w:tcW w:w="291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N+1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N+n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753B2" w:rsidRPr="00611DF6" w:rsidTr="00FF4AEB">
        <w:trPr>
          <w:trHeight w:val="125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644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B753B2" w:rsidRPr="00611DF6" w:rsidTr="00A95CD7">
        <w:trPr>
          <w:trHeight w:val="309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611DF6" w:rsidRDefault="00AE6534" w:rsidP="00990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(комплексная программа) за счет бюджетных ассигнований по источникам финансирования дефицита бюджета Республики Алтай, всего, в том числе: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611DF6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3B2" w:rsidRPr="00A85604" w:rsidTr="00A95CD7">
        <w:trPr>
          <w:trHeight w:val="259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534" w:rsidRPr="00E3664A" w:rsidRDefault="00AE6534" w:rsidP="009909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государственной программы (комплексной программы</w:t>
            </w:r>
            <w:r w:rsidR="0099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«___________» (наименование) №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E3664A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E3664A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E3664A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E3664A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534" w:rsidRPr="00E3664A" w:rsidRDefault="00AE6534" w:rsidP="005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423" w:rsidRDefault="00564423" w:rsidP="00EA0133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26 </w:t>
      </w:r>
      <w:r w:rsidRPr="00564423">
        <w:rPr>
          <w:rFonts w:ascii="Times New Roman" w:hAnsi="Times New Roman" w:cs="Times New Roman"/>
          <w:sz w:val="28"/>
          <w:szCs w:val="28"/>
        </w:rPr>
        <w:t>раздел 2 «ОБОСНОВАНИ</w:t>
      </w:r>
      <w:bookmarkStart w:id="21" w:name="_GoBack"/>
      <w:bookmarkEnd w:id="21"/>
      <w:r w:rsidRPr="00564423">
        <w:rPr>
          <w:rFonts w:ascii="Times New Roman" w:hAnsi="Times New Roman" w:cs="Times New Roman"/>
          <w:sz w:val="28"/>
          <w:szCs w:val="28"/>
        </w:rPr>
        <w:t>Е бюджетных ассигнований на оплату труда работников и взносы в государственные внебюджетные фонды на выплаты по оплате труда работников государственных органов Республики Алтай на очередной финансовый год (20__ год) и на плановый период (20__ - 20__ годы)»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6534" w:rsidRDefault="00564423" w:rsidP="00564423">
      <w:pPr>
        <w:pStyle w:val="a4"/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47C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64423">
        <w:rPr>
          <w:rFonts w:ascii="Times New Roman" w:hAnsi="Times New Roman" w:cs="Times New Roman"/>
          <w:sz w:val="28"/>
          <w:szCs w:val="28"/>
        </w:rPr>
        <w:t xml:space="preserve">2. ОБОСНОВАНИЕ </w:t>
      </w:r>
      <w:r w:rsidR="00C047C8">
        <w:rPr>
          <w:rFonts w:ascii="Times New Roman" w:hAnsi="Times New Roman" w:cs="Times New Roman"/>
          <w:sz w:val="28"/>
          <w:szCs w:val="28"/>
        </w:rPr>
        <w:br/>
      </w:r>
      <w:r w:rsidRPr="00564423">
        <w:rPr>
          <w:rFonts w:ascii="Times New Roman" w:hAnsi="Times New Roman" w:cs="Times New Roman"/>
          <w:sz w:val="28"/>
          <w:szCs w:val="28"/>
        </w:rPr>
        <w:t xml:space="preserve">бюджетных ассигнований  на оплату труда работников и взносы в государственные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423">
        <w:rPr>
          <w:rFonts w:ascii="Times New Roman" w:hAnsi="Times New Roman" w:cs="Times New Roman"/>
          <w:sz w:val="28"/>
          <w:szCs w:val="28"/>
        </w:rPr>
        <w:t xml:space="preserve">небюджетные фонды </w:t>
      </w:r>
      <w:r w:rsidR="00C047C8">
        <w:rPr>
          <w:rFonts w:ascii="Times New Roman" w:hAnsi="Times New Roman" w:cs="Times New Roman"/>
          <w:sz w:val="28"/>
          <w:szCs w:val="28"/>
        </w:rPr>
        <w:br/>
      </w:r>
      <w:r w:rsidRPr="00564423">
        <w:rPr>
          <w:rFonts w:ascii="Times New Roman" w:hAnsi="Times New Roman" w:cs="Times New Roman"/>
          <w:sz w:val="28"/>
          <w:szCs w:val="28"/>
        </w:rPr>
        <w:t xml:space="preserve">на выплаты по оплате труда работников государственных органов Республики Алтай  </w:t>
      </w:r>
      <w:r>
        <w:rPr>
          <w:rFonts w:ascii="Times New Roman" w:hAnsi="Times New Roman" w:cs="Times New Roman"/>
          <w:sz w:val="28"/>
          <w:szCs w:val="28"/>
        </w:rPr>
        <w:br/>
      </w:r>
      <w:r w:rsidRPr="00564423">
        <w:rPr>
          <w:rFonts w:ascii="Times New Roman" w:hAnsi="Times New Roman" w:cs="Times New Roman"/>
          <w:sz w:val="28"/>
          <w:szCs w:val="28"/>
        </w:rPr>
        <w:t>на очередной финансовый год (20__ год) и на плановый период (20__ - 20__ годы)</w:t>
      </w:r>
    </w:p>
    <w:p w:rsidR="00C047C8" w:rsidRPr="00C047C8" w:rsidRDefault="00C047C8" w:rsidP="00C047C8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047C8">
        <w:rPr>
          <w:rFonts w:ascii="Times New Roman" w:hAnsi="Times New Roman" w:cs="Times New Roman"/>
          <w:sz w:val="28"/>
          <w:szCs w:val="28"/>
        </w:rPr>
        <w:t>По ГРБС</w:t>
      </w:r>
      <w:r w:rsidRPr="00C04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047C8" w:rsidRPr="00C047C8" w:rsidRDefault="00C047C8" w:rsidP="00C047C8">
      <w:pPr>
        <w:pStyle w:val="a4"/>
        <w:spacing w:after="0" w:afterAutospacing="0" w:line="240" w:lineRule="auto"/>
        <w:ind w:firstLine="2115"/>
        <w:rPr>
          <w:rFonts w:ascii="Times New Roman" w:hAnsi="Times New Roman" w:cs="Times New Roman"/>
          <w:sz w:val="20"/>
          <w:szCs w:val="28"/>
        </w:rPr>
      </w:pPr>
      <w:r w:rsidRPr="00C047C8">
        <w:rPr>
          <w:rFonts w:ascii="Times New Roman" w:hAnsi="Times New Roman" w:cs="Times New Roman"/>
          <w:sz w:val="28"/>
          <w:szCs w:val="28"/>
        </w:rPr>
        <w:tab/>
      </w:r>
      <w:r w:rsidRPr="00C047C8">
        <w:rPr>
          <w:rFonts w:ascii="Times New Roman" w:hAnsi="Times New Roman" w:cs="Times New Roman"/>
          <w:sz w:val="20"/>
          <w:szCs w:val="28"/>
        </w:rPr>
        <w:t>(наименование ГРБС)</w:t>
      </w:r>
    </w:p>
    <w:p w:rsidR="00C047C8" w:rsidRPr="00C047C8" w:rsidRDefault="00C047C8" w:rsidP="00C047C8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047C8">
        <w:rPr>
          <w:rFonts w:ascii="Times New Roman" w:hAnsi="Times New Roman" w:cs="Times New Roman"/>
          <w:sz w:val="28"/>
          <w:szCs w:val="28"/>
        </w:rPr>
        <w:t>Код ГРБС</w:t>
      </w:r>
      <w:r w:rsidRPr="00C047C8">
        <w:rPr>
          <w:rFonts w:ascii="Times New Roman" w:hAnsi="Times New Roman" w:cs="Times New Roman"/>
          <w:sz w:val="28"/>
          <w:szCs w:val="28"/>
        </w:rPr>
        <w:tab/>
      </w:r>
      <w:r w:rsidRPr="00C047C8">
        <w:rPr>
          <w:rFonts w:ascii="Times New Roman" w:hAnsi="Times New Roman" w:cs="Times New Roman"/>
          <w:sz w:val="28"/>
          <w:szCs w:val="28"/>
        </w:rPr>
        <w:tab/>
      </w:r>
    </w:p>
    <w:p w:rsidR="00C047C8" w:rsidRDefault="00C047C8" w:rsidP="00C047C8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047C8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C047C8" w:rsidRDefault="00C047C8" w:rsidP="00584FDE">
      <w:pPr>
        <w:spacing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47C8">
        <w:rPr>
          <w:rFonts w:ascii="Times New Roman" w:hAnsi="Times New Roman" w:cs="Times New Roman"/>
          <w:sz w:val="28"/>
          <w:szCs w:val="28"/>
        </w:rPr>
        <w:t>2.1. Фонд оплаты труда работников государст</w:t>
      </w:r>
      <w:r w:rsidR="00584FDE">
        <w:rPr>
          <w:rFonts w:ascii="Times New Roman" w:hAnsi="Times New Roman" w:cs="Times New Roman"/>
          <w:sz w:val="28"/>
          <w:szCs w:val="28"/>
        </w:rPr>
        <w:t>венных органов Республики Алтай</w:t>
      </w:r>
    </w:p>
    <w:p w:rsidR="00584FDE" w:rsidRPr="00C047C8" w:rsidRDefault="00584FDE" w:rsidP="00584FDE">
      <w:pPr>
        <w:spacing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7"/>
        <w:gridCol w:w="909"/>
        <w:gridCol w:w="993"/>
        <w:gridCol w:w="993"/>
        <w:gridCol w:w="993"/>
        <w:gridCol w:w="3180"/>
        <w:gridCol w:w="1281"/>
        <w:gridCol w:w="1441"/>
        <w:gridCol w:w="1313"/>
        <w:gridCol w:w="1150"/>
        <w:gridCol w:w="1520"/>
      </w:tblGrid>
      <w:tr w:rsidR="00C047C8" w:rsidRPr="00C047C8" w:rsidTr="00A95CD7">
        <w:trPr>
          <w:trHeight w:val="140"/>
        </w:trPr>
        <w:tc>
          <w:tcPr>
            <w:tcW w:w="16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работников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C8" w:rsidRPr="00C047C8" w:rsidRDefault="00C047C8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роста, % очередного финансового года к текущему финансовому году</w:t>
            </w:r>
          </w:p>
        </w:tc>
      </w:tr>
      <w:tr w:rsidR="00C047C8" w:rsidRPr="00C047C8" w:rsidTr="00A95CD7">
        <w:trPr>
          <w:trHeight w:val="185"/>
        </w:trPr>
        <w:tc>
          <w:tcPr>
            <w:tcW w:w="16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7C8" w:rsidRPr="00C047C8" w:rsidTr="00A95CD7">
        <w:trPr>
          <w:trHeight w:val="232"/>
        </w:trPr>
        <w:tc>
          <w:tcPr>
            <w:tcW w:w="16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7C8" w:rsidRPr="00C047C8" w:rsidTr="00A95CD7">
        <w:trPr>
          <w:trHeight w:val="9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очередной финансовый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 планового периода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 планового периода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7C8" w:rsidRPr="00C047C8" w:rsidTr="00A95CD7">
        <w:trPr>
          <w:trHeight w:val="14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11=8/7*100</w:t>
            </w:r>
          </w:p>
        </w:tc>
      </w:tr>
      <w:tr w:rsidR="00C047C8" w:rsidRPr="00C047C8" w:rsidTr="00A95CD7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государственные должности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47C8" w:rsidRPr="00C047C8" w:rsidTr="00A95CD7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гражданские служащие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47C8" w:rsidRPr="00C047C8" w:rsidTr="00A95CD7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47C8" w:rsidRPr="00C047C8" w:rsidTr="00A95CD7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Работники, оплата труда которых осуществляется в соответствии с новыми системами оплаты труда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47C8" w:rsidRPr="00C047C8" w:rsidTr="00A95CD7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4AEB" w:rsidRDefault="00FF4AEB" w:rsidP="00C047C8">
      <w:pPr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F4AEB" w:rsidSect="00990989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C047C8" w:rsidRDefault="00C047C8" w:rsidP="00C047C8">
      <w:pPr>
        <w:spacing w:after="0" w:afterAutospacing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760"/>
        <w:gridCol w:w="1180"/>
        <w:gridCol w:w="1120"/>
        <w:gridCol w:w="1300"/>
        <w:gridCol w:w="1420"/>
        <w:gridCol w:w="2760"/>
        <w:gridCol w:w="1300"/>
        <w:gridCol w:w="2209"/>
      </w:tblGrid>
      <w:tr w:rsidR="00C047C8" w:rsidRPr="00C047C8" w:rsidTr="00FF4AEB">
        <w:trPr>
          <w:trHeight w:val="2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</w:t>
            </w:r>
          </w:p>
        </w:tc>
      </w:tr>
      <w:tr w:rsidR="00C047C8" w:rsidRPr="00C047C8" w:rsidTr="00FF4AEB">
        <w:trPr>
          <w:trHeight w:val="134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текущего финансового года (К1)</w:t>
            </w:r>
            <w:r>
              <w:rPr>
                <w:rStyle w:val="af0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47C8" w:rsidRPr="00C047C8" w:rsidTr="00FF4AEB">
        <w:trPr>
          <w:trHeight w:val="165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Индексация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чередного финансового года (К2)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7C8" w:rsidRPr="00C047C8" w:rsidRDefault="00C047C8" w:rsidP="00C047C8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84FDE" w:rsidRDefault="00584FDE" w:rsidP="00C047C8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7C8" w:rsidRDefault="00C047C8" w:rsidP="00C047C8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47C8">
        <w:rPr>
          <w:rFonts w:ascii="Times New Roman" w:hAnsi="Times New Roman" w:cs="Times New Roman"/>
          <w:sz w:val="28"/>
          <w:szCs w:val="28"/>
        </w:rPr>
        <w:t xml:space="preserve">2.2.Взносы в государственные внебюджетные фонды на выплаты </w:t>
      </w:r>
      <w:r w:rsidR="00584FDE">
        <w:rPr>
          <w:rFonts w:ascii="Times New Roman" w:hAnsi="Times New Roman" w:cs="Times New Roman"/>
          <w:sz w:val="28"/>
          <w:szCs w:val="28"/>
        </w:rPr>
        <w:br/>
      </w:r>
      <w:r w:rsidRPr="00C047C8">
        <w:rPr>
          <w:rFonts w:ascii="Times New Roman" w:hAnsi="Times New Roman" w:cs="Times New Roman"/>
          <w:sz w:val="28"/>
          <w:szCs w:val="28"/>
        </w:rPr>
        <w:t>по оплате труда работников государственных органов Республики Алтай</w:t>
      </w:r>
    </w:p>
    <w:p w:rsidR="00584FDE" w:rsidRDefault="00584FDE" w:rsidP="00C047C8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50"/>
        <w:gridCol w:w="990"/>
        <w:gridCol w:w="993"/>
        <w:gridCol w:w="713"/>
        <w:gridCol w:w="1986"/>
        <w:gridCol w:w="1299"/>
        <w:gridCol w:w="1395"/>
        <w:gridCol w:w="1415"/>
        <w:gridCol w:w="1561"/>
        <w:gridCol w:w="1275"/>
        <w:gridCol w:w="1520"/>
      </w:tblGrid>
      <w:tr w:rsidR="00A95CD7" w:rsidRPr="00584FDE" w:rsidTr="00304374">
        <w:trPr>
          <w:trHeight w:val="20"/>
        </w:trPr>
        <w:tc>
          <w:tcPr>
            <w:tcW w:w="1410" w:type="pct"/>
            <w:gridSpan w:val="5"/>
            <w:vMerge w:val="restar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работников</w:t>
            </w:r>
          </w:p>
        </w:tc>
        <w:tc>
          <w:tcPr>
            <w:tcW w:w="2385" w:type="pct"/>
            <w:gridSpan w:val="5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роста, % очередного финансового года к текущему финансовому году</w:t>
            </w:r>
          </w:p>
        </w:tc>
      </w:tr>
      <w:tr w:rsidR="00A95CD7" w:rsidRPr="00584FDE" w:rsidTr="00304374">
        <w:trPr>
          <w:trHeight w:val="20"/>
        </w:trPr>
        <w:tc>
          <w:tcPr>
            <w:tcW w:w="1410" w:type="pct"/>
            <w:gridSpan w:val="5"/>
            <w:vMerge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47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взносов в государственные внебюджетные фонды</w:t>
            </w:r>
          </w:p>
        </w:tc>
        <w:tc>
          <w:tcPr>
            <w:tcW w:w="146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523" w:type="pct"/>
            <w:vMerge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304374">
        <w:trPr>
          <w:trHeight w:val="20"/>
        </w:trPr>
        <w:tc>
          <w:tcPr>
            <w:tcW w:w="1410" w:type="pct"/>
            <w:gridSpan w:val="5"/>
            <w:vMerge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20__ год</w:t>
            </w:r>
          </w:p>
        </w:tc>
        <w:tc>
          <w:tcPr>
            <w:tcW w:w="523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30437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68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очередной финансовый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 планового периода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 планового периода</w:t>
            </w:r>
          </w:p>
        </w:tc>
        <w:tc>
          <w:tcPr>
            <w:tcW w:w="523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30437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9=р2.1(гр8)*р2.2 (гр8)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10=р2.1(гр9)*р2.2 (гр8)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11=р2.1(гр10)*р2.2 (гр8)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12=9/7*100</w:t>
            </w:r>
          </w:p>
        </w:tc>
      </w:tr>
      <w:tr w:rsidR="00A95CD7" w:rsidRPr="00584FDE" w:rsidTr="0030437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государственные должности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30437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гражданские служащие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30437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Работники, замещающие должности, не являющиеся должностями государственной гражданской службы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30437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Работники, оплата труда которых осуществляется в соответствии с новыми системами оплаты труда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304374">
        <w:trPr>
          <w:trHeight w:val="20"/>
        </w:trPr>
        <w:tc>
          <w:tcPr>
            <w:tcW w:w="193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DE" w:rsidRDefault="00584FDE" w:rsidP="00584FDE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FDE" w:rsidRDefault="00584FDE" w:rsidP="00584FDE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FDE">
        <w:rPr>
          <w:rFonts w:ascii="Times New Roman" w:hAnsi="Times New Roman" w:cs="Times New Roman"/>
          <w:sz w:val="28"/>
          <w:szCs w:val="28"/>
        </w:rPr>
        <w:t>2.3. Расчет годового фонда оплаты труда лиц, замещающих государственные должности</w:t>
      </w:r>
    </w:p>
    <w:p w:rsidR="00584FDE" w:rsidRDefault="00584FDE" w:rsidP="00584FDE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005"/>
        <w:gridCol w:w="885"/>
        <w:gridCol w:w="1121"/>
        <w:gridCol w:w="1121"/>
        <w:gridCol w:w="978"/>
        <w:gridCol w:w="795"/>
        <w:gridCol w:w="1182"/>
        <w:gridCol w:w="795"/>
        <w:gridCol w:w="1235"/>
        <w:gridCol w:w="1066"/>
        <w:gridCol w:w="1319"/>
        <w:gridCol w:w="1144"/>
        <w:gridCol w:w="725"/>
        <w:gridCol w:w="795"/>
      </w:tblGrid>
      <w:tr w:rsidR="00584FDE" w:rsidRPr="00584FDE" w:rsidTr="00A95CD7">
        <w:trPr>
          <w:trHeight w:val="1024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должностей (ед.)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денежного вознаграждения  на 1 ед. на месяц (руб.)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Денежное вознаграждение  на месяц (руб.)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размер ежемесячного денежного поощрения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размер ежеквартального денежного поощрения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премия за выполнение особо важных и сложных заданий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всего в расчете на год (руб.)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индексации (руб.)</w:t>
            </w:r>
          </w:p>
        </w:tc>
      </w:tr>
      <w:tr w:rsidR="00584FDE" w:rsidRPr="00584FDE" w:rsidTr="00A95CD7">
        <w:trPr>
          <w:trHeight w:val="998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должностных окладах (количество)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сумме (руб.)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денежных вознаграждениях (количество)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сумме (руб.)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денежного вознаграждения и ежемесячного денежного поощрения (количество)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сумме (руб.)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денежного вознаграждения и ежемесячного денежного поощрения (количество)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сумме (руб.)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FDE" w:rsidRPr="00584FDE" w:rsidTr="00A95CD7">
        <w:trPr>
          <w:trHeight w:val="31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5=гр3*гр4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7=гр5*гр6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9=гр5*гр8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11=(гр5+гр7)*гр10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13=(гр5+гр7)*гр12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84FDE" w:rsidRPr="00584FDE" w:rsidTr="00A95CD7">
        <w:trPr>
          <w:trHeight w:val="7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4FDE" w:rsidRPr="00584FDE" w:rsidTr="00A95CD7">
        <w:trPr>
          <w:trHeight w:val="16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4FDE" w:rsidRPr="00584FDE" w:rsidTr="00A95CD7">
        <w:trPr>
          <w:trHeight w:val="7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84FDE" w:rsidRPr="00584FDE" w:rsidTr="00A95CD7">
        <w:trPr>
          <w:trHeight w:val="116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4FDE" w:rsidRDefault="00584FDE" w:rsidP="00584FDE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4FDE" w:rsidRDefault="00584FDE" w:rsidP="00584FDE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4FDE">
        <w:rPr>
          <w:rFonts w:ascii="Times New Roman" w:hAnsi="Times New Roman" w:cs="Times New Roman"/>
          <w:sz w:val="28"/>
          <w:szCs w:val="28"/>
        </w:rPr>
        <w:t>2.4. Расчет годового фонда оплаты труда государственных гражданских служащих</w:t>
      </w:r>
    </w:p>
    <w:p w:rsidR="00A95CD7" w:rsidRDefault="00A95CD7" w:rsidP="00584FDE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429"/>
        <w:gridCol w:w="985"/>
        <w:gridCol w:w="1010"/>
        <w:gridCol w:w="1130"/>
        <w:gridCol w:w="1147"/>
        <w:gridCol w:w="1124"/>
        <w:gridCol w:w="900"/>
        <w:gridCol w:w="900"/>
        <w:gridCol w:w="1240"/>
        <w:gridCol w:w="1619"/>
        <w:gridCol w:w="850"/>
        <w:gridCol w:w="920"/>
        <w:gridCol w:w="1313"/>
        <w:gridCol w:w="990"/>
      </w:tblGrid>
      <w:tr w:rsidR="00584FDE" w:rsidRPr="00584FDE" w:rsidTr="00A95CD7">
        <w:trPr>
          <w:trHeight w:val="161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должностей (ед.)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Должностной оклад на 1 ед. (руб.)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должностным окладам на месяц (руб.)</w:t>
            </w: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ежемесячного денежного поощрения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всего в расчете на год (руб.)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материального стимулирования в процентах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материального стимулирования  (руб.)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индексации (руб.)</w:t>
            </w:r>
          </w:p>
        </w:tc>
      </w:tr>
      <w:tr w:rsidR="00A95CD7" w:rsidRPr="00584FDE" w:rsidTr="00A95CD7">
        <w:trPr>
          <w:trHeight w:val="1365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должностных окладах (количество)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 1 единицу (руб.)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сумме (руб.)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районного коэффициента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D7" w:rsidRPr="00584FDE" w:rsidTr="00A95CD7">
        <w:trPr>
          <w:trHeight w:val="24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5=гр3*гр4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7=гр4*</w:t>
            </w:r>
            <w:r w:rsidR="00A9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8=гр3*</w:t>
            </w:r>
            <w:r w:rsidR="00A9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95CD7" w:rsidRPr="00584FDE" w:rsidTr="00A95CD7"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95CD7" w:rsidRPr="00584FDE" w:rsidTr="00A95CD7">
        <w:trPr>
          <w:trHeight w:val="20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95CD7" w:rsidRPr="00584FDE" w:rsidTr="00A95CD7">
        <w:trPr>
          <w:trHeight w:val="24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95CD7" w:rsidRPr="00584FDE" w:rsidTr="00A95CD7">
        <w:trPr>
          <w:trHeight w:val="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FDE" w:rsidRPr="00584FDE" w:rsidRDefault="00584FDE" w:rsidP="00584FDE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2EBB" w:rsidRDefault="00BA2EBB" w:rsidP="00DD588B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588B" w:rsidRDefault="00DD588B" w:rsidP="00DD588B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88B">
        <w:rPr>
          <w:rFonts w:ascii="Times New Roman" w:hAnsi="Times New Roman" w:cs="Times New Roman"/>
          <w:sz w:val="28"/>
          <w:szCs w:val="28"/>
        </w:rPr>
        <w:t>2.5.   Расчет годового фонда оплаты труда работников, замещающих должности, не являющиеся должностями государственной гражданской службы</w:t>
      </w:r>
    </w:p>
    <w:p w:rsidR="00DD588B" w:rsidRDefault="00DD588B" w:rsidP="00DD588B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1523"/>
        <w:gridCol w:w="1704"/>
        <w:gridCol w:w="1843"/>
        <w:gridCol w:w="1415"/>
        <w:gridCol w:w="1983"/>
        <w:gridCol w:w="1561"/>
        <w:gridCol w:w="1275"/>
        <w:gridCol w:w="1278"/>
        <w:gridCol w:w="1380"/>
      </w:tblGrid>
      <w:tr w:rsidR="00DD588B" w:rsidRPr="00DD588B" w:rsidTr="00A95CD7">
        <w:trPr>
          <w:trHeight w:val="45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должностей (ед.)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Должностной оклад на 1 ед. (руб.)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должностным окладам на месяц (руб.)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ежемесячного денежного поощрения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всего в расчете на год (руб.)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МРОТ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индексации, МРОТ (руб.)</w:t>
            </w:r>
          </w:p>
        </w:tc>
      </w:tr>
      <w:tr w:rsidR="00DD588B" w:rsidRPr="00DD588B" w:rsidTr="00A95CD7">
        <w:trPr>
          <w:trHeight w:val="593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должностных окладах (количество)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сумме (руб.)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88B" w:rsidRPr="00DD588B" w:rsidTr="00A95CD7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5=гр3*гр4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7=гр5*гр6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D588B" w:rsidRPr="00DD588B" w:rsidTr="00A95CD7">
        <w:trPr>
          <w:trHeight w:val="1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588B" w:rsidRPr="00DD588B" w:rsidTr="00A95CD7">
        <w:trPr>
          <w:trHeight w:val="1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588B" w:rsidRPr="00DD588B" w:rsidTr="00A95CD7">
        <w:trPr>
          <w:trHeight w:val="7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588B" w:rsidRPr="00DD588B" w:rsidTr="00BA2EBB">
        <w:trPr>
          <w:trHeight w:val="12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2EBB" w:rsidRPr="00DD588B" w:rsidTr="00BA2EBB">
        <w:trPr>
          <w:trHeight w:val="122"/>
        </w:trPr>
        <w:tc>
          <w:tcPr>
            <w:tcW w:w="3649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BB" w:rsidRPr="00DD588B" w:rsidRDefault="00BA2EBB" w:rsidP="00BA2EB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должностных окладов в год, учитываемых при формировании фонда оплаты труда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BB" w:rsidRPr="00DD588B" w:rsidRDefault="00BA2EB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A2EBB" w:rsidRPr="00DD588B" w:rsidRDefault="00BA2EB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2EBB" w:rsidRPr="00DD588B" w:rsidRDefault="00BA2EB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88B" w:rsidRDefault="00DD588B" w:rsidP="00DD588B">
      <w:pPr>
        <w:spacing w:after="0" w:afterAutospacing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D588B" w:rsidRDefault="00DD588B" w:rsidP="00DD588B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Расчет годового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оплаты труда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которых осуществляется в соответствии с новыми системами оплаты труда</w:t>
      </w:r>
    </w:p>
    <w:p w:rsidR="00DD588B" w:rsidRDefault="00DD588B" w:rsidP="00DD588B">
      <w:pPr>
        <w:spacing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360" w:type="dxa"/>
        <w:tblLook w:val="04A0" w:firstRow="1" w:lastRow="0" w:firstColumn="1" w:lastColumn="0" w:noHBand="0" w:noVBand="1"/>
      </w:tblPr>
      <w:tblGrid>
        <w:gridCol w:w="752"/>
        <w:gridCol w:w="1653"/>
        <w:gridCol w:w="1701"/>
        <w:gridCol w:w="2126"/>
        <w:gridCol w:w="2694"/>
        <w:gridCol w:w="1984"/>
        <w:gridCol w:w="1843"/>
        <w:gridCol w:w="1607"/>
      </w:tblGrid>
      <w:tr w:rsidR="00DD588B" w:rsidRPr="00DD588B" w:rsidTr="00DD588B">
        <w:trPr>
          <w:trHeight w:val="23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должностей (ед.)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Должностной оклад на 1 ед. (руб.)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Кратное отношение к месячной сумме окладов (должностных окладов)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всего в расчете на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МРОТ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учетом индексации, МРОТ (руб.)</w:t>
            </w:r>
          </w:p>
        </w:tc>
      </w:tr>
      <w:tr w:rsidR="00DD588B" w:rsidRPr="00DD588B" w:rsidTr="00A95CD7">
        <w:trPr>
          <w:trHeight w:val="43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588B" w:rsidRPr="00DD588B" w:rsidTr="00DD588B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6=гр3*гр4*гр5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D588B" w:rsidRPr="00DD588B" w:rsidTr="00DD588B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588B" w:rsidRPr="00DD588B" w:rsidTr="00DD588B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588B" w:rsidRPr="00DD588B" w:rsidTr="00A95CD7">
        <w:trPr>
          <w:trHeight w:val="15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588B" w:rsidRPr="00DD588B" w:rsidTr="00DD588B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8B" w:rsidRPr="00DD588B" w:rsidRDefault="00DD588B" w:rsidP="00DD588B">
            <w:pPr>
              <w:spacing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88B" w:rsidRPr="00DD588B" w:rsidRDefault="00DD588B" w:rsidP="00DD588B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9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_____________________</w:t>
      </w:r>
      <w:r w:rsidR="00A9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D588B" w:rsidRPr="00DD588B" w:rsidRDefault="00DD588B" w:rsidP="00DD588B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A95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95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95C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(</w:t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подписи)</w:t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DD588B" w:rsidRPr="00DD588B" w:rsidRDefault="00DD588B" w:rsidP="00DD588B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бухгалтер, экономист</w:t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(расшифровка подписи)</w:t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44FF" w:rsidRDefault="00DD588B" w:rsidP="00DD588B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(Ф.И.О.,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телефона)».</w:t>
      </w:r>
    </w:p>
    <w:p w:rsidR="00DD588B" w:rsidRDefault="003444FF" w:rsidP="00EA0133">
      <w:pPr>
        <w:pStyle w:val="a4"/>
        <w:numPr>
          <w:ilvl w:val="0"/>
          <w:numId w:val="4"/>
        </w:numPr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№ 16 слова «</w:t>
      </w:r>
      <w:r w:rsidRPr="0034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ресурсов, экологии и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 «природных ресурсов и экологии».</w:t>
      </w:r>
    </w:p>
    <w:p w:rsidR="00EA0133" w:rsidRPr="001077D8" w:rsidRDefault="00EA0133" w:rsidP="00EA013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77D8">
        <w:rPr>
          <w:rFonts w:ascii="Times New Roman" w:hAnsi="Times New Roman" w:cs="Times New Roman"/>
          <w:sz w:val="28"/>
          <w:szCs w:val="28"/>
        </w:rPr>
        <w:t>Подраздел 7.1 «7.1. Реестр для расчета налога на имущество организаций,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7D8">
        <w:rPr>
          <w:rFonts w:ascii="Times New Roman" w:hAnsi="Times New Roman" w:cs="Times New Roman"/>
          <w:sz w:val="28"/>
          <w:szCs w:val="28"/>
        </w:rPr>
        <w:t xml:space="preserve">уплате в очередном финансовом году и плановом периоде» раздела 7 в Приложении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077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0133" w:rsidRPr="00E37A2C" w:rsidRDefault="00EA0133" w:rsidP="00EA0133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7A2C">
        <w:rPr>
          <w:rFonts w:ascii="Times New Roman" w:hAnsi="Times New Roman" w:cs="Times New Roman"/>
          <w:sz w:val="28"/>
          <w:szCs w:val="28"/>
        </w:rPr>
        <w:t>7.2. РЕЕСТР</w:t>
      </w:r>
    </w:p>
    <w:p w:rsidR="00EA0133" w:rsidRPr="00E37A2C" w:rsidRDefault="00EA0133" w:rsidP="00EA0133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организаций, подлежащего</w:t>
      </w:r>
    </w:p>
    <w:p w:rsidR="00EA0133" w:rsidRPr="00E37A2C" w:rsidRDefault="00EA0133" w:rsidP="00EA0133">
      <w:pPr>
        <w:pStyle w:val="a4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уплате в очередном финансовом году и плановом периоде</w:t>
      </w:r>
    </w:p>
    <w:p w:rsidR="00EA0133" w:rsidRPr="00E37A2C" w:rsidRDefault="00EA0133" w:rsidP="00EA0133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EA0133" w:rsidRPr="00E37A2C" w:rsidRDefault="00EA0133" w:rsidP="00EA0133">
      <w:pPr>
        <w:pStyle w:val="a4"/>
        <w:spacing w:after="0" w:afterAutospacing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по ГРБС: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EA0133" w:rsidRPr="00E37A2C" w:rsidRDefault="00EA0133" w:rsidP="00EA0133">
      <w:pPr>
        <w:pStyle w:val="a4"/>
        <w:spacing w:line="240" w:lineRule="auto"/>
        <w:ind w:left="709" w:firstLine="1418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ab/>
      </w:r>
      <w:r w:rsidRPr="00E37A2C">
        <w:rPr>
          <w:rFonts w:ascii="Times New Roman" w:hAnsi="Times New Roman" w:cs="Times New Roman"/>
          <w:sz w:val="20"/>
          <w:szCs w:val="28"/>
        </w:rPr>
        <w:t>(наименование ГРБС)</w:t>
      </w:r>
    </w:p>
    <w:p w:rsidR="00EA0133" w:rsidRPr="00E37A2C" w:rsidRDefault="00EA0133" w:rsidP="00EA0133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Код ГРБС ____</w:t>
      </w:r>
    </w:p>
    <w:p w:rsidR="00EA0133" w:rsidRPr="001077D8" w:rsidRDefault="00EA0133" w:rsidP="00EA0133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EA0133" w:rsidRDefault="00EA0133" w:rsidP="00EA01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37A2C">
        <w:rPr>
          <w:rFonts w:ascii="Times New Roman" w:hAnsi="Times New Roman" w:cs="Times New Roman"/>
          <w:sz w:val="28"/>
          <w:szCs w:val="28"/>
        </w:rPr>
        <w:t>7.2.1. Реестр для расчета налога на имущество организаций, подлежащего уплате в очередном финансовом году и плановом периоде (на исполнение действующих расходных обязательств)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9"/>
        <w:gridCol w:w="981"/>
        <w:gridCol w:w="1235"/>
        <w:gridCol w:w="510"/>
        <w:gridCol w:w="561"/>
        <w:gridCol w:w="1123"/>
        <w:gridCol w:w="446"/>
        <w:gridCol w:w="510"/>
        <w:gridCol w:w="561"/>
        <w:gridCol w:w="446"/>
        <w:gridCol w:w="510"/>
        <w:gridCol w:w="561"/>
        <w:gridCol w:w="446"/>
        <w:gridCol w:w="510"/>
        <w:gridCol w:w="561"/>
        <w:gridCol w:w="1413"/>
        <w:gridCol w:w="527"/>
        <w:gridCol w:w="764"/>
        <w:gridCol w:w="617"/>
        <w:gridCol w:w="672"/>
        <w:gridCol w:w="597"/>
      </w:tblGrid>
      <w:tr w:rsidR="00EA0133" w:rsidRPr="00E37A2C" w:rsidTr="001478A2">
        <w:tc>
          <w:tcPr>
            <w:tcW w:w="346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37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учитываемого на балансе в качестве объектов основных средств по состоянию на 1 июля текущего финансового года, всего</w:t>
            </w:r>
          </w:p>
        </w:tc>
        <w:tc>
          <w:tcPr>
            <w:tcW w:w="1178" w:type="pct"/>
            <w:gridSpan w:val="4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1" w:type="pct"/>
            <w:gridSpan w:val="3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521" w:type="pct"/>
            <w:gridSpan w:val="3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521" w:type="pct"/>
            <w:gridSpan w:val="3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485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Примечание (в случае передачи и (или) продажи/отчуждения недвижимого имущества и т.д.)</w:t>
            </w:r>
          </w:p>
        </w:tc>
        <w:tc>
          <w:tcPr>
            <w:tcW w:w="1091" w:type="pct"/>
            <w:gridSpan w:val="5"/>
            <w:vMerge w:val="restart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A0133" w:rsidRPr="00E37A2C" w:rsidTr="001478A2">
        <w:trPr>
          <w:trHeight w:val="1223"/>
        </w:trPr>
        <w:tc>
          <w:tcPr>
            <w:tcW w:w="346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EA0133" w:rsidRPr="00E37A2C" w:rsidRDefault="00EA0133" w:rsidP="00EA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133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не подлежащего налогообложению налогом на имущество организаций в связи с применением специальных налоговых режимов, по состоянию на 1 июля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екущего финансового года, всего</w:t>
            </w:r>
          </w:p>
        </w:tc>
        <w:tc>
          <w:tcPr>
            <w:tcW w:w="753" w:type="pct"/>
            <w:gridSpan w:val="3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недвижимого имущества, подлежащего налогообложению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алогом на имущество организаций</w:t>
            </w:r>
          </w:p>
        </w:tc>
        <w:tc>
          <w:tcPr>
            <w:tcW w:w="521" w:type="pct"/>
            <w:gridSpan w:val="3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rPr>
          <w:trHeight w:val="1049"/>
        </w:trPr>
        <w:tc>
          <w:tcPr>
            <w:tcW w:w="346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 xml:space="preserve">по ставке 0,198% </w:t>
            </w: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освобождаемого от уплаты налога </w:t>
            </w:r>
          </w:p>
        </w:tc>
        <w:tc>
          <w:tcPr>
            <w:tcW w:w="521" w:type="pct"/>
            <w:gridSpan w:val="3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rPr>
          <w:trHeight w:val="212"/>
        </w:trPr>
        <w:tc>
          <w:tcPr>
            <w:tcW w:w="346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3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6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3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3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3" w:type="pct"/>
            <w:vMerge w:val="restar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85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</w:tr>
      <w:tr w:rsidR="00EA0133" w:rsidRPr="00E37A2C" w:rsidTr="001478A2">
        <w:tc>
          <w:tcPr>
            <w:tcW w:w="346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0,198%</w:t>
            </w:r>
          </w:p>
        </w:tc>
        <w:tc>
          <w:tcPr>
            <w:tcW w:w="153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0,198 %</w:t>
            </w:r>
          </w:p>
        </w:tc>
        <w:tc>
          <w:tcPr>
            <w:tcW w:w="153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2,2%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по ставке 0,198%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7 гр. 8 + гр. 9</w:t>
            </w: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8 = гр. 4 x 2,2%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9 = гр. 5 x 0,198%</w:t>
            </w: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10 = гр. 11 + гр. 12</w:t>
            </w: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11 = гр. 4 x 2,2%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12 = гр. 5 x 0,198%</w:t>
            </w: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13 = гр. 14 + гр. 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14 = гр. 4 x 2,2%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гр. 15 = гр. 5 x 0,198%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33" w:rsidRPr="00E37A2C" w:rsidTr="001478A2">
        <w:tc>
          <w:tcPr>
            <w:tcW w:w="346" w:type="pct"/>
          </w:tcPr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37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133" w:rsidRDefault="00EA0133" w:rsidP="00EA0133">
      <w:pPr>
        <w:pStyle w:val="a4"/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2ECC">
        <w:rPr>
          <w:rFonts w:ascii="Times New Roman" w:hAnsi="Times New Roman" w:cs="Times New Roman"/>
          <w:sz w:val="28"/>
          <w:szCs w:val="28"/>
        </w:rPr>
        <w:t xml:space="preserve">В случае применения специальных режимов налогообложения графы 4 -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2ECC">
        <w:rPr>
          <w:rFonts w:ascii="Times New Roman" w:hAnsi="Times New Roman" w:cs="Times New Roman"/>
          <w:sz w:val="28"/>
          <w:szCs w:val="28"/>
        </w:rPr>
        <w:t>1 не заполняются.</w:t>
      </w:r>
    </w:p>
    <w:p w:rsidR="00EA0133" w:rsidRDefault="00EA0133" w:rsidP="00EA013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92ECC">
        <w:rPr>
          <w:rFonts w:ascii="Times New Roman" w:hAnsi="Times New Roman" w:cs="Times New Roman"/>
          <w:sz w:val="28"/>
          <w:szCs w:val="28"/>
        </w:rPr>
        <w:t>7.2.2. Реестр для расчета налога на имущество организаций, подлежащего уплате в очередном финансовом году и плановом периоде (на исполнение принимаемых расходных обязательств) (заполняется в отношении недвижимого имущества, планируемого к передаче на праве оперативного управления)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8"/>
        <w:gridCol w:w="1086"/>
        <w:gridCol w:w="1373"/>
        <w:gridCol w:w="558"/>
        <w:gridCol w:w="615"/>
        <w:gridCol w:w="1247"/>
        <w:gridCol w:w="577"/>
        <w:gridCol w:w="558"/>
        <w:gridCol w:w="615"/>
        <w:gridCol w:w="486"/>
        <w:gridCol w:w="558"/>
        <w:gridCol w:w="615"/>
        <w:gridCol w:w="486"/>
        <w:gridCol w:w="558"/>
        <w:gridCol w:w="615"/>
        <w:gridCol w:w="577"/>
        <w:gridCol w:w="844"/>
        <w:gridCol w:w="678"/>
        <w:gridCol w:w="740"/>
        <w:gridCol w:w="656"/>
      </w:tblGrid>
      <w:tr w:rsidR="00EA0133" w:rsidRPr="00DA720B" w:rsidTr="001478A2">
        <w:tc>
          <w:tcPr>
            <w:tcW w:w="384" w:type="pct"/>
            <w:vMerge w:val="restart"/>
            <w:tcBorders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35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имущества, учитываемого на балансе в качестве объектов основных средств  или стоимость капитальных вложени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 в недвижимое имущество, всего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 очередном финансовом году</w:t>
            </w:r>
          </w:p>
        </w:tc>
        <w:tc>
          <w:tcPr>
            <w:tcW w:w="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 первом году планового периода</w:t>
            </w:r>
          </w:p>
        </w:tc>
        <w:tc>
          <w:tcPr>
            <w:tcW w:w="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налога на имущество организаций, подлежащая уплате в бюджет во втором году планового периода</w:t>
            </w:r>
          </w:p>
        </w:tc>
        <w:tc>
          <w:tcPr>
            <w:tcW w:w="1200" w:type="pct"/>
            <w:gridSpan w:val="5"/>
            <w:vMerge w:val="restart"/>
            <w:tcBorders>
              <w:left w:val="single" w:sz="4" w:space="0" w:color="auto"/>
            </w:tcBorders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  <w:p w:rsidR="00EA0133" w:rsidRPr="00E37A2C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A0133" w:rsidRPr="00DA720B" w:rsidTr="001478A2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35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 или стоимость капитальных вложений в недвижимое имущество, не подлежащее налогообложению налогом на имущество организаций в связи с применением специ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альных налоговых режимов, всего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35B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стоимость недвижимого имущества или стоимость капитальных вложений в недвижимое имущество, подлежащее налогообложению 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алогом на имущество организаций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5"/>
            <w:vMerge/>
            <w:tcBorders>
              <w:lef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rPr>
          <w:trHeight w:val="521"/>
        </w:trPr>
        <w:tc>
          <w:tcPr>
            <w:tcW w:w="384" w:type="pct"/>
            <w:vMerge/>
            <w:tcBorders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ставке 2,2%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освобождаемого от уплаты налога</w:t>
            </w:r>
          </w:p>
        </w:tc>
        <w:tc>
          <w:tcPr>
            <w:tcW w:w="6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5"/>
            <w:vMerge/>
            <w:tcBorders>
              <w:lef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</w:tcBorders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</w:tcBorders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</w:tcBorders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</w:tcBorders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</w:tcBorders>
            <w:vAlign w:val="center"/>
          </w:tcPr>
          <w:p w:rsidR="00EA0133" w:rsidRPr="001077D8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7D8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</w:tr>
      <w:tr w:rsidR="00EA0133" w:rsidRPr="00DA720B" w:rsidTr="001478A2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ставке 0,198%</w:t>
            </w:r>
          </w:p>
        </w:tc>
        <w:tc>
          <w:tcPr>
            <w:tcW w:w="198" w:type="pct"/>
            <w:vMerge/>
            <w:tcBorders>
              <w:lef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4B45EA" w:rsidTr="001478A2">
        <w:tc>
          <w:tcPr>
            <w:tcW w:w="384" w:type="pct"/>
            <w:vMerge/>
            <w:tcBorders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8 = гр. 4 x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9 = гр. 5 x 0,198%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10 = гр. 11 + гр. 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11 = гр. 4 x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12 = гр. 5 x 0,198%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13 = гр. 14 + гр. 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14 = гр. 4 x 2,2%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гр. 15 = гр. 5 x 0,198%</w:t>
            </w:r>
          </w:p>
        </w:tc>
        <w:tc>
          <w:tcPr>
            <w:tcW w:w="198" w:type="pct"/>
            <w:vMerge/>
            <w:tcBorders>
              <w:lef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</w:tcBorders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" w:type="pct"/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" w:type="pct"/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pct"/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" w:type="pct"/>
            <w:vAlign w:val="center"/>
          </w:tcPr>
          <w:p w:rsidR="00EA0133" w:rsidRPr="00F435B5" w:rsidRDefault="00EA0133" w:rsidP="001478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33" w:rsidRPr="00DA720B" w:rsidTr="001478A2">
        <w:tc>
          <w:tcPr>
            <w:tcW w:w="38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A72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E37A2C" w:rsidRDefault="00EA0133" w:rsidP="001478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EA0133" w:rsidRPr="00DA720B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0133" w:rsidRDefault="00EA0133" w:rsidP="00EA0133">
      <w:pPr>
        <w:pStyle w:val="a4"/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92ECC">
        <w:rPr>
          <w:rFonts w:ascii="Times New Roman" w:hAnsi="Times New Roman" w:cs="Times New Roman"/>
          <w:sz w:val="28"/>
          <w:szCs w:val="28"/>
        </w:rPr>
        <w:t>В случае применения специальных режим</w:t>
      </w:r>
      <w:r>
        <w:rPr>
          <w:rFonts w:ascii="Times New Roman" w:hAnsi="Times New Roman" w:cs="Times New Roman"/>
          <w:sz w:val="28"/>
          <w:szCs w:val="28"/>
        </w:rPr>
        <w:t>ов налогообложения графы 4 - 20</w:t>
      </w:r>
      <w:r w:rsidRPr="00992ECC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564"/>
        <w:gridCol w:w="397"/>
        <w:gridCol w:w="3231"/>
      </w:tblGrid>
      <w:tr w:rsidR="00EA0133" w:rsidRPr="004B45EA" w:rsidTr="001478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33" w:rsidRPr="004B45EA" w:rsidTr="001478A2">
        <w:trPr>
          <w:trHeight w:val="1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EA0133" w:rsidRPr="004B45EA" w:rsidTr="001478A2">
        <w:trPr>
          <w:trHeight w:val="3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бухгалтер, экономист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33" w:rsidRPr="004B45EA" w:rsidTr="001478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33" w:rsidRPr="004B45EA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  <w:tr w:rsidR="00EA0133" w:rsidRPr="004B45EA" w:rsidTr="001478A2"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33" w:rsidRPr="00EA0133" w:rsidRDefault="00EA0133" w:rsidP="001478A2">
            <w:pPr>
              <w:widowControl w:val="0"/>
              <w:autoSpaceDE w:val="0"/>
              <w:autoSpaceDN w:val="0"/>
              <w:spacing w:after="0" w:afterAutospacing="0"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B45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Исполнитель: (Ф.И.О., номер телефона)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A0133" w:rsidRPr="00EA0133" w:rsidRDefault="00EA0133" w:rsidP="00EA0133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0133" w:rsidRPr="00EA0133" w:rsidSect="00FF4AEB">
      <w:footnotePr>
        <w:numRestart w:val="eachSect"/>
      </w:footnotePr>
      <w:type w:val="continuous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0B" w:rsidRDefault="00DA720B" w:rsidP="00462D0D">
      <w:pPr>
        <w:spacing w:after="0" w:line="240" w:lineRule="auto"/>
      </w:pPr>
      <w:r>
        <w:separator/>
      </w:r>
    </w:p>
  </w:endnote>
  <w:endnote w:type="continuationSeparator" w:id="0">
    <w:p w:rsidR="00DA720B" w:rsidRDefault="00DA720B" w:rsidP="0046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0B" w:rsidRDefault="00DA720B" w:rsidP="00462D0D">
      <w:pPr>
        <w:spacing w:after="0" w:line="240" w:lineRule="auto"/>
      </w:pPr>
      <w:r>
        <w:separator/>
      </w:r>
    </w:p>
  </w:footnote>
  <w:footnote w:type="continuationSeparator" w:id="0">
    <w:p w:rsidR="00DA720B" w:rsidRDefault="00DA720B" w:rsidP="00462D0D">
      <w:pPr>
        <w:spacing w:after="0" w:line="240" w:lineRule="auto"/>
      </w:pPr>
      <w:r>
        <w:continuationSeparator/>
      </w:r>
    </w:p>
  </w:footnote>
  <w:footnote w:id="1">
    <w:p w:rsidR="00DA720B" w:rsidRPr="00990989" w:rsidRDefault="00DA720B" w:rsidP="00AE6534">
      <w:pPr>
        <w:tabs>
          <w:tab w:val="left" w:pos="709"/>
        </w:tabs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990989">
        <w:rPr>
          <w:rStyle w:val="af0"/>
          <w:rFonts w:ascii="Times New Roman" w:hAnsi="Times New Roman"/>
          <w:sz w:val="20"/>
          <w:szCs w:val="20"/>
        </w:rPr>
        <w:footnoteRef/>
      </w:r>
      <w:r w:rsidRPr="00990989">
        <w:rPr>
          <w:rFonts w:ascii="Times New Roman" w:hAnsi="Times New Roman" w:cs="Times New Roman"/>
          <w:sz w:val="20"/>
          <w:szCs w:val="20"/>
        </w:rPr>
        <w:t xml:space="preserve"> </w:t>
      </w:r>
      <w:r w:rsidRPr="00990989">
        <w:rPr>
          <w:rFonts w:ascii="Times New Roman" w:hAnsi="Times New Roman" w:cs="Times New Roman"/>
          <w:color w:val="000000"/>
          <w:sz w:val="20"/>
          <w:szCs w:val="20"/>
        </w:rPr>
        <w:t>В случае отсутствия финансового обеспечения за счет отдельных источников финансирования, такие источники не приводятся.</w:t>
      </w:r>
    </w:p>
  </w:footnote>
  <w:footnote w:id="2">
    <w:p w:rsidR="00DA720B" w:rsidRPr="00990989" w:rsidRDefault="00DA720B" w:rsidP="00AE6534">
      <w:pPr>
        <w:pStyle w:val="ae"/>
        <w:tabs>
          <w:tab w:val="left" w:pos="709"/>
        </w:tabs>
        <w:ind w:firstLine="709"/>
      </w:pPr>
      <w:r w:rsidRPr="00990989">
        <w:rPr>
          <w:rStyle w:val="af0"/>
        </w:rPr>
        <w:footnoteRef/>
      </w:r>
      <w:r w:rsidRPr="00990989">
        <w:rPr>
          <w:rStyle w:val="af0"/>
        </w:rPr>
        <w:t xml:space="preserve"> </w:t>
      </w:r>
      <w:r w:rsidRPr="00990989">
        <w:t>Не подлежит отражению в печатной форме.</w:t>
      </w:r>
    </w:p>
  </w:footnote>
  <w:footnote w:id="3">
    <w:p w:rsidR="00DA720B" w:rsidRPr="00990989" w:rsidRDefault="00DA720B" w:rsidP="00AE6534">
      <w:pPr>
        <w:pStyle w:val="ae"/>
        <w:tabs>
          <w:tab w:val="left" w:pos="709"/>
        </w:tabs>
        <w:ind w:firstLine="709"/>
      </w:pPr>
      <w:r w:rsidRPr="00990989">
        <w:rPr>
          <w:rStyle w:val="af0"/>
        </w:rPr>
        <w:footnoteRef/>
      </w:r>
      <w:r w:rsidRPr="00990989">
        <w:t xml:space="preserve"> Не подлежит отражению в печатной форме.</w:t>
      </w:r>
    </w:p>
  </w:footnote>
  <w:footnote w:id="4">
    <w:p w:rsidR="00DA720B" w:rsidRPr="00990989" w:rsidRDefault="00DA720B" w:rsidP="00AE6534">
      <w:pPr>
        <w:pStyle w:val="ae"/>
        <w:tabs>
          <w:tab w:val="left" w:pos="709"/>
        </w:tabs>
        <w:ind w:firstLine="709"/>
      </w:pPr>
      <w:r w:rsidRPr="00990989">
        <w:rPr>
          <w:rStyle w:val="af0"/>
        </w:rPr>
        <w:footnoteRef/>
      </w:r>
      <w:r w:rsidRPr="00990989">
        <w:t xml:space="preserve"> Не подлежит отражению в печатной форме.</w:t>
      </w:r>
    </w:p>
  </w:footnote>
  <w:footnote w:id="5">
    <w:p w:rsidR="00DA720B" w:rsidRPr="00990989" w:rsidRDefault="00DA720B" w:rsidP="00AE6534">
      <w:pPr>
        <w:pStyle w:val="ae"/>
        <w:tabs>
          <w:tab w:val="left" w:pos="709"/>
        </w:tabs>
        <w:ind w:firstLine="709"/>
      </w:pPr>
      <w:r w:rsidRPr="00990989">
        <w:rPr>
          <w:rStyle w:val="af0"/>
        </w:rPr>
        <w:footnoteRef/>
      </w:r>
      <w:r w:rsidRPr="00990989">
        <w:rPr>
          <w:rStyle w:val="af0"/>
        </w:rPr>
        <w:t xml:space="preserve"> </w:t>
      </w:r>
      <w:r w:rsidRPr="00990989">
        <w:t>Не подлежит отражению в печатной форме.</w:t>
      </w:r>
    </w:p>
  </w:footnote>
  <w:footnote w:id="6">
    <w:p w:rsidR="00DA720B" w:rsidRPr="00990989" w:rsidRDefault="00DA720B" w:rsidP="00AE6534">
      <w:pPr>
        <w:pStyle w:val="ae"/>
        <w:tabs>
          <w:tab w:val="left" w:pos="709"/>
        </w:tabs>
        <w:ind w:firstLine="709"/>
      </w:pPr>
      <w:r w:rsidRPr="00990989">
        <w:rPr>
          <w:rStyle w:val="af0"/>
        </w:rPr>
        <w:footnoteRef/>
      </w:r>
      <w:r w:rsidRPr="00990989">
        <w:t xml:space="preserve"> Не подлежит отражению в печатной форме.</w:t>
      </w:r>
    </w:p>
  </w:footnote>
  <w:footnote w:id="7">
    <w:p w:rsidR="00DA720B" w:rsidRDefault="00DA720B" w:rsidP="00990989">
      <w:pPr>
        <w:pStyle w:val="ae"/>
        <w:ind w:firstLine="709"/>
      </w:pPr>
      <w:r w:rsidRPr="00990989">
        <w:rPr>
          <w:rStyle w:val="af0"/>
        </w:rPr>
        <w:footnoteRef/>
      </w:r>
      <w:r w:rsidRPr="00990989">
        <w:t xml:space="preserve"> Не подлежит отражению в печатной форме.</w:t>
      </w:r>
    </w:p>
  </w:footnote>
  <w:footnote w:id="8">
    <w:p w:rsidR="00DA720B" w:rsidRDefault="00DA720B" w:rsidP="00C047C8">
      <w:pPr>
        <w:pStyle w:val="ae"/>
        <w:ind w:firstLine="709"/>
      </w:pPr>
      <w:r>
        <w:rPr>
          <w:rStyle w:val="af0"/>
        </w:rPr>
        <w:footnoteRef/>
      </w:r>
      <w:r>
        <w:t xml:space="preserve"> </w:t>
      </w:r>
      <w:r w:rsidRPr="00C047C8">
        <w:t>Заполняются в соответствии с принятыми решениями Правительства Российской Федерации о повышении оплаты труда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09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720B" w:rsidRPr="00462D0D" w:rsidRDefault="00DA720B" w:rsidP="00462D0D">
        <w:pPr>
          <w:pStyle w:val="a5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2D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2D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2D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4AE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462D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D4"/>
    <w:multiLevelType w:val="hybridMultilevel"/>
    <w:tmpl w:val="A8E26558"/>
    <w:lvl w:ilvl="0" w:tplc="188616A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516B"/>
    <w:multiLevelType w:val="hybridMultilevel"/>
    <w:tmpl w:val="F93E6BB8"/>
    <w:lvl w:ilvl="0" w:tplc="7A266EC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757C3"/>
    <w:multiLevelType w:val="hybridMultilevel"/>
    <w:tmpl w:val="E924B0E6"/>
    <w:lvl w:ilvl="0" w:tplc="188616A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0CC9"/>
    <w:multiLevelType w:val="hybridMultilevel"/>
    <w:tmpl w:val="9CF61B2C"/>
    <w:lvl w:ilvl="0" w:tplc="BC42C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A7053"/>
    <w:multiLevelType w:val="hybridMultilevel"/>
    <w:tmpl w:val="F07A1610"/>
    <w:lvl w:ilvl="0" w:tplc="7A266EC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3242E"/>
    <w:multiLevelType w:val="hybridMultilevel"/>
    <w:tmpl w:val="3C866ACA"/>
    <w:lvl w:ilvl="0" w:tplc="188616A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2772"/>
    <w:multiLevelType w:val="hybridMultilevel"/>
    <w:tmpl w:val="F07A1610"/>
    <w:lvl w:ilvl="0" w:tplc="7A266EC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22BA"/>
    <w:multiLevelType w:val="hybridMultilevel"/>
    <w:tmpl w:val="34C025EE"/>
    <w:lvl w:ilvl="0" w:tplc="7A266EC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1267E5"/>
    <w:multiLevelType w:val="hybridMultilevel"/>
    <w:tmpl w:val="F0185838"/>
    <w:lvl w:ilvl="0" w:tplc="7A266EC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71754C"/>
    <w:multiLevelType w:val="hybridMultilevel"/>
    <w:tmpl w:val="47B69D10"/>
    <w:lvl w:ilvl="0" w:tplc="0419000F">
      <w:start w:val="1"/>
      <w:numFmt w:val="decimal"/>
      <w:lvlText w:val="%1."/>
      <w:lvlJc w:val="left"/>
      <w:pPr>
        <w:ind w:left="7095" w:hanging="360"/>
      </w:pPr>
    </w:lvl>
    <w:lvl w:ilvl="1" w:tplc="04190019" w:tentative="1">
      <w:start w:val="1"/>
      <w:numFmt w:val="lowerLetter"/>
      <w:lvlText w:val="%2."/>
      <w:lvlJc w:val="left"/>
      <w:pPr>
        <w:ind w:left="7815" w:hanging="360"/>
      </w:pPr>
    </w:lvl>
    <w:lvl w:ilvl="2" w:tplc="0419001B" w:tentative="1">
      <w:start w:val="1"/>
      <w:numFmt w:val="lowerRoman"/>
      <w:lvlText w:val="%3."/>
      <w:lvlJc w:val="right"/>
      <w:pPr>
        <w:ind w:left="8535" w:hanging="180"/>
      </w:pPr>
    </w:lvl>
    <w:lvl w:ilvl="3" w:tplc="0419000F" w:tentative="1">
      <w:start w:val="1"/>
      <w:numFmt w:val="decimal"/>
      <w:lvlText w:val="%4."/>
      <w:lvlJc w:val="left"/>
      <w:pPr>
        <w:ind w:left="9255" w:hanging="360"/>
      </w:pPr>
    </w:lvl>
    <w:lvl w:ilvl="4" w:tplc="04190019" w:tentative="1">
      <w:start w:val="1"/>
      <w:numFmt w:val="lowerLetter"/>
      <w:lvlText w:val="%5."/>
      <w:lvlJc w:val="left"/>
      <w:pPr>
        <w:ind w:left="9975" w:hanging="360"/>
      </w:pPr>
    </w:lvl>
    <w:lvl w:ilvl="5" w:tplc="0419001B" w:tentative="1">
      <w:start w:val="1"/>
      <w:numFmt w:val="lowerRoman"/>
      <w:lvlText w:val="%6."/>
      <w:lvlJc w:val="right"/>
      <w:pPr>
        <w:ind w:left="10695" w:hanging="180"/>
      </w:pPr>
    </w:lvl>
    <w:lvl w:ilvl="6" w:tplc="0419000F" w:tentative="1">
      <w:start w:val="1"/>
      <w:numFmt w:val="decimal"/>
      <w:lvlText w:val="%7."/>
      <w:lvlJc w:val="left"/>
      <w:pPr>
        <w:ind w:left="11415" w:hanging="360"/>
      </w:pPr>
    </w:lvl>
    <w:lvl w:ilvl="7" w:tplc="04190019" w:tentative="1">
      <w:start w:val="1"/>
      <w:numFmt w:val="lowerLetter"/>
      <w:lvlText w:val="%8."/>
      <w:lvlJc w:val="left"/>
      <w:pPr>
        <w:ind w:left="12135" w:hanging="360"/>
      </w:pPr>
    </w:lvl>
    <w:lvl w:ilvl="8" w:tplc="0419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10" w15:restartNumberingAfterBreak="0">
    <w:nsid w:val="5C6549AC"/>
    <w:multiLevelType w:val="hybridMultilevel"/>
    <w:tmpl w:val="1AC69D3A"/>
    <w:lvl w:ilvl="0" w:tplc="188616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1E2CF9"/>
    <w:multiLevelType w:val="hybridMultilevel"/>
    <w:tmpl w:val="11D2055C"/>
    <w:lvl w:ilvl="0" w:tplc="41605AD6">
      <w:start w:val="1"/>
      <w:numFmt w:val="russianLower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2C2DDB"/>
    <w:multiLevelType w:val="hybridMultilevel"/>
    <w:tmpl w:val="2D3486FC"/>
    <w:lvl w:ilvl="0" w:tplc="41605AD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C3463"/>
    <w:multiLevelType w:val="hybridMultilevel"/>
    <w:tmpl w:val="071886F4"/>
    <w:lvl w:ilvl="0" w:tplc="7A266EC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D"/>
    <w:rsid w:val="00000743"/>
    <w:rsid w:val="00090839"/>
    <w:rsid w:val="000B1384"/>
    <w:rsid w:val="001077D8"/>
    <w:rsid w:val="00131A96"/>
    <w:rsid w:val="001B5DD6"/>
    <w:rsid w:val="001D57D1"/>
    <w:rsid w:val="00247708"/>
    <w:rsid w:val="002C1D6F"/>
    <w:rsid w:val="002F39B9"/>
    <w:rsid w:val="00304374"/>
    <w:rsid w:val="00334CED"/>
    <w:rsid w:val="003444FF"/>
    <w:rsid w:val="0035349A"/>
    <w:rsid w:val="003F3528"/>
    <w:rsid w:val="00404566"/>
    <w:rsid w:val="00423F8C"/>
    <w:rsid w:val="00456EA1"/>
    <w:rsid w:val="00462D0D"/>
    <w:rsid w:val="004770F6"/>
    <w:rsid w:val="004B45EA"/>
    <w:rsid w:val="004D7483"/>
    <w:rsid w:val="00524E66"/>
    <w:rsid w:val="0055143D"/>
    <w:rsid w:val="00564423"/>
    <w:rsid w:val="00584FDE"/>
    <w:rsid w:val="005E7DC8"/>
    <w:rsid w:val="00633157"/>
    <w:rsid w:val="00652503"/>
    <w:rsid w:val="00721A5C"/>
    <w:rsid w:val="00753068"/>
    <w:rsid w:val="00841B03"/>
    <w:rsid w:val="00867548"/>
    <w:rsid w:val="00937E8B"/>
    <w:rsid w:val="00984717"/>
    <w:rsid w:val="00990989"/>
    <w:rsid w:val="00992ECC"/>
    <w:rsid w:val="009A4D96"/>
    <w:rsid w:val="00A839F4"/>
    <w:rsid w:val="00A95CD7"/>
    <w:rsid w:val="00AA3873"/>
    <w:rsid w:val="00AE6534"/>
    <w:rsid w:val="00B0010C"/>
    <w:rsid w:val="00B109EF"/>
    <w:rsid w:val="00B3749E"/>
    <w:rsid w:val="00B753B2"/>
    <w:rsid w:val="00BA2EBB"/>
    <w:rsid w:val="00BC0F52"/>
    <w:rsid w:val="00BD4CE9"/>
    <w:rsid w:val="00C047C8"/>
    <w:rsid w:val="00C150B9"/>
    <w:rsid w:val="00C15D1C"/>
    <w:rsid w:val="00C325C8"/>
    <w:rsid w:val="00C7486E"/>
    <w:rsid w:val="00C83DDC"/>
    <w:rsid w:val="00D17707"/>
    <w:rsid w:val="00D567AB"/>
    <w:rsid w:val="00D92431"/>
    <w:rsid w:val="00DA720B"/>
    <w:rsid w:val="00DD2B9D"/>
    <w:rsid w:val="00DD588B"/>
    <w:rsid w:val="00E37A2C"/>
    <w:rsid w:val="00E41DA5"/>
    <w:rsid w:val="00E432A0"/>
    <w:rsid w:val="00E765D0"/>
    <w:rsid w:val="00EA0133"/>
    <w:rsid w:val="00F300B0"/>
    <w:rsid w:val="00F435B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D5C3"/>
  <w15:chartTrackingRefBased/>
  <w15:docId w15:val="{B5B64C2F-DDAE-49F2-8403-4C94966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03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652503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65250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39"/>
    <w:rsid w:val="006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5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D0D"/>
  </w:style>
  <w:style w:type="paragraph" w:styleId="a7">
    <w:name w:val="footer"/>
    <w:basedOn w:val="a"/>
    <w:link w:val="a8"/>
    <w:uiPriority w:val="99"/>
    <w:unhideWhenUsed/>
    <w:rsid w:val="0046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D0D"/>
  </w:style>
  <w:style w:type="paragraph" w:styleId="a9">
    <w:name w:val="Balloon Text"/>
    <w:basedOn w:val="a"/>
    <w:link w:val="aa"/>
    <w:uiPriority w:val="99"/>
    <w:semiHidden/>
    <w:unhideWhenUsed/>
    <w:rsid w:val="0035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349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B5D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uiPriority w:val="99"/>
    <w:semiHidden/>
    <w:unhideWhenUsed/>
    <w:rsid w:val="00AA38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873"/>
    <w:pPr>
      <w:spacing w:after="160" w:afterAutospacing="0"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3873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AE6534"/>
    <w:pPr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E6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AE6534"/>
    <w:rPr>
      <w:rFonts w:cs="Times New Roman"/>
      <w:vertAlign w:val="superscript"/>
    </w:rPr>
  </w:style>
  <w:style w:type="paragraph" w:customStyle="1" w:styleId="ConsPlusNormal">
    <w:name w:val="ConsPlusNormal"/>
    <w:rsid w:val="00C047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9821F4D240FFAEC31BF1D67957DE944A7CAFFC16618595AD664746EE2B9B34EE86A02BFCE551DDB1E09068139A7EA919CFF1BCDB989F75D68A2Dd7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485E-EF2F-4AF5-BBE9-2F84F82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4</cp:revision>
  <cp:lastPrinted>2022-12-02T06:55:00Z</cp:lastPrinted>
  <dcterms:created xsi:type="dcterms:W3CDTF">2023-07-13T03:55:00Z</dcterms:created>
  <dcterms:modified xsi:type="dcterms:W3CDTF">2023-07-14T05:07:00Z</dcterms:modified>
</cp:coreProperties>
</file>