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B6" w:rsidRDefault="00BE73B6" w:rsidP="00BE73B6">
      <w:pPr>
        <w:pStyle w:val="ConsPlusNormal"/>
        <w:tabs>
          <w:tab w:val="left" w:pos="8647"/>
        </w:tabs>
        <w:ind w:right="-1"/>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591D14">
        <w:rPr>
          <w:rFonts w:ascii="Times New Roman" w:hAnsi="Times New Roman" w:cs="Times New Roman"/>
          <w:sz w:val="24"/>
          <w:szCs w:val="24"/>
        </w:rPr>
        <w:t>3</w:t>
      </w:r>
      <w:r>
        <w:rPr>
          <w:rFonts w:ascii="Times New Roman" w:hAnsi="Times New Roman" w:cs="Times New Roman"/>
          <w:sz w:val="24"/>
          <w:szCs w:val="24"/>
        </w:rPr>
        <w:t xml:space="preserve">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BE73B6" w:rsidRDefault="00BE73B6" w:rsidP="00AD3D68">
      <w:pPr>
        <w:spacing w:after="1" w:line="220" w:lineRule="atLeast"/>
        <w:jc w:val="right"/>
        <w:outlineLvl w:val="0"/>
        <w:rPr>
          <w:rFonts w:ascii="Times New Roman" w:hAnsi="Times New Roman" w:cs="Times New Roman"/>
          <w:sz w:val="24"/>
          <w:szCs w:val="24"/>
        </w:rPr>
      </w:pPr>
    </w:p>
    <w:p w:rsidR="00AD3D68" w:rsidRDefault="00591D14" w:rsidP="00AD3D68">
      <w:pPr>
        <w:spacing w:after="1" w:line="220" w:lineRule="atLeast"/>
        <w:jc w:val="right"/>
        <w:outlineLvl w:val="0"/>
        <w:rPr>
          <w:rFonts w:ascii="Times New Roman" w:hAnsi="Times New Roman" w:cs="Times New Roman"/>
          <w:sz w:val="24"/>
          <w:szCs w:val="24"/>
        </w:rPr>
      </w:pPr>
      <w:r>
        <w:rPr>
          <w:rFonts w:ascii="Times New Roman" w:hAnsi="Times New Roman" w:cs="Times New Roman"/>
          <w:sz w:val="24"/>
          <w:szCs w:val="24"/>
        </w:rPr>
        <w:t>«</w:t>
      </w:r>
      <w:r w:rsidR="00AD3D68"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bookmarkStart w:id="0" w:name="_GoBack"/>
      <w:bookmarkEnd w:id="0"/>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591D14" w:rsidRDefault="005F7112" w:rsidP="007F2F4C">
            <w:pPr>
              <w:spacing w:line="220" w:lineRule="atLeast"/>
              <w:jc w:val="both"/>
              <w:rPr>
                <w:rFonts w:ascii="Times New Roman" w:hAnsi="Times New Roman" w:cs="Times New Roman"/>
                <w:b/>
                <w:sz w:val="20"/>
                <w:szCs w:val="20"/>
              </w:rPr>
            </w:pPr>
            <w:r w:rsidRPr="00591D14">
              <w:rPr>
                <w:rFonts w:ascii="Times New Roman" w:hAnsi="Times New Roman" w:cs="Times New Roman"/>
                <w:b/>
                <w:sz w:val="20"/>
                <w:szCs w:val="20"/>
              </w:rPr>
              <w:t>Государственные внутренние заимствования Республики Алтай</w:t>
            </w:r>
          </w:p>
        </w:tc>
        <w:tc>
          <w:tcPr>
            <w:tcW w:w="1559" w:type="dxa"/>
            <w:vAlign w:val="center"/>
          </w:tcPr>
          <w:p w:rsidR="005F7112" w:rsidRPr="00591D14" w:rsidRDefault="0096215C" w:rsidP="002A230B">
            <w:pPr>
              <w:spacing w:line="220" w:lineRule="atLeast"/>
              <w:jc w:val="center"/>
              <w:rPr>
                <w:rFonts w:ascii="Times New Roman" w:hAnsi="Times New Roman" w:cs="Times New Roman"/>
                <w:b/>
                <w:sz w:val="20"/>
                <w:szCs w:val="20"/>
              </w:rPr>
            </w:pPr>
            <w:r w:rsidRPr="00591D14">
              <w:rPr>
                <w:rFonts w:ascii="Times New Roman" w:hAnsi="Times New Roman" w:cs="Times New Roman"/>
                <w:b/>
                <w:sz w:val="20"/>
                <w:szCs w:val="20"/>
              </w:rPr>
              <w:t>2 1</w:t>
            </w:r>
            <w:r w:rsidR="002A230B" w:rsidRPr="00591D14">
              <w:rPr>
                <w:rFonts w:ascii="Times New Roman" w:hAnsi="Times New Roman" w:cs="Times New Roman"/>
                <w:b/>
                <w:sz w:val="20"/>
                <w:szCs w:val="20"/>
              </w:rPr>
              <w:t>6</w:t>
            </w:r>
            <w:r w:rsidRPr="00591D14">
              <w:rPr>
                <w:rFonts w:ascii="Times New Roman" w:hAnsi="Times New Roman" w:cs="Times New Roman"/>
                <w:b/>
                <w:sz w:val="20"/>
                <w:szCs w:val="20"/>
              </w:rPr>
              <w:t>7 767,5</w:t>
            </w:r>
          </w:p>
        </w:tc>
        <w:tc>
          <w:tcPr>
            <w:tcW w:w="1701" w:type="dxa"/>
            <w:vAlign w:val="center"/>
          </w:tcPr>
          <w:p w:rsidR="005F7112" w:rsidRPr="00591D14" w:rsidRDefault="005F7112" w:rsidP="007F2F4C">
            <w:pPr>
              <w:spacing w:line="220" w:lineRule="atLeast"/>
              <w:jc w:val="center"/>
              <w:rPr>
                <w:rFonts w:ascii="Times New Roman" w:hAnsi="Times New Roman" w:cs="Times New Roman"/>
                <w:b/>
                <w:sz w:val="20"/>
                <w:szCs w:val="20"/>
              </w:rPr>
            </w:pPr>
            <w:r w:rsidRPr="00591D14">
              <w:rPr>
                <w:rFonts w:ascii="Times New Roman" w:hAnsi="Times New Roman" w:cs="Times New Roman"/>
                <w:b/>
                <w:sz w:val="20"/>
                <w:szCs w:val="20"/>
              </w:rPr>
              <w:t>Х</w:t>
            </w:r>
          </w:p>
        </w:tc>
        <w:tc>
          <w:tcPr>
            <w:tcW w:w="1843" w:type="dxa"/>
            <w:vAlign w:val="center"/>
          </w:tcPr>
          <w:p w:rsidR="005F7112" w:rsidRPr="00591D14" w:rsidRDefault="00DD6AEE" w:rsidP="004147A9">
            <w:pPr>
              <w:spacing w:line="220" w:lineRule="atLeast"/>
              <w:jc w:val="center"/>
              <w:rPr>
                <w:rFonts w:ascii="Times New Roman" w:hAnsi="Times New Roman" w:cs="Times New Roman"/>
                <w:b/>
                <w:sz w:val="20"/>
                <w:szCs w:val="20"/>
              </w:rPr>
            </w:pPr>
            <w:r w:rsidRPr="00591D14">
              <w:rPr>
                <w:rFonts w:ascii="Times New Roman" w:hAnsi="Times New Roman" w:cs="Times New Roman"/>
                <w:b/>
                <w:sz w:val="20"/>
                <w:szCs w:val="20"/>
              </w:rPr>
              <w:t>-</w:t>
            </w:r>
            <w:r w:rsidR="0075212F" w:rsidRPr="00591D14">
              <w:rPr>
                <w:rFonts w:ascii="Times New Roman" w:hAnsi="Times New Roman" w:cs="Times New Roman"/>
                <w:b/>
                <w:sz w:val="20"/>
                <w:szCs w:val="20"/>
              </w:rPr>
              <w:t xml:space="preserve"> </w:t>
            </w:r>
            <w:r w:rsidRPr="00591D14">
              <w:rPr>
                <w:rFonts w:ascii="Times New Roman" w:hAnsi="Times New Roman" w:cs="Times New Roman"/>
                <w:b/>
                <w:sz w:val="20"/>
                <w:szCs w:val="20"/>
              </w:rPr>
              <w:t>1</w:t>
            </w:r>
            <w:r w:rsidR="003C492F" w:rsidRPr="00591D14">
              <w:rPr>
                <w:rFonts w:ascii="Times New Roman" w:hAnsi="Times New Roman" w:cs="Times New Roman"/>
                <w:b/>
                <w:sz w:val="20"/>
                <w:szCs w:val="20"/>
              </w:rPr>
              <w:t> </w:t>
            </w:r>
            <w:r w:rsidR="004147A9" w:rsidRPr="00591D14">
              <w:rPr>
                <w:rFonts w:ascii="Times New Roman" w:hAnsi="Times New Roman" w:cs="Times New Roman"/>
                <w:b/>
                <w:sz w:val="20"/>
                <w:szCs w:val="20"/>
              </w:rPr>
              <w:t>049</w:t>
            </w:r>
            <w:r w:rsidR="003C492F" w:rsidRPr="00591D14">
              <w:rPr>
                <w:rFonts w:ascii="Times New Roman" w:hAnsi="Times New Roman" w:cs="Times New Roman"/>
                <w:b/>
                <w:sz w:val="20"/>
                <w:szCs w:val="20"/>
              </w:rPr>
              <w:t xml:space="preserve"> </w:t>
            </w:r>
            <w:r w:rsidR="004147A9" w:rsidRPr="00591D14">
              <w:rPr>
                <w:rFonts w:ascii="Times New Roman" w:hAnsi="Times New Roman" w:cs="Times New Roman"/>
                <w:b/>
                <w:sz w:val="20"/>
                <w:szCs w:val="20"/>
              </w:rPr>
              <w:t>053</w:t>
            </w:r>
            <w:r w:rsidRPr="00591D14">
              <w:rPr>
                <w:rFonts w:ascii="Times New Roman" w:hAnsi="Times New Roman" w:cs="Times New Roman"/>
                <w:b/>
                <w:sz w:val="20"/>
                <w:szCs w:val="20"/>
              </w:rPr>
              <w:t>,0</w:t>
            </w:r>
          </w:p>
        </w:tc>
      </w:tr>
      <w:tr w:rsidR="005F7112" w:rsidTr="001C32D5">
        <w:trPr>
          <w:jc w:val="center"/>
        </w:trPr>
        <w:tc>
          <w:tcPr>
            <w:tcW w:w="4673" w:type="dxa"/>
            <w:vAlign w:val="center"/>
          </w:tcPr>
          <w:p w:rsidR="005F7112" w:rsidRPr="00591D14" w:rsidRDefault="005F7112" w:rsidP="007F2F4C">
            <w:pPr>
              <w:spacing w:line="220" w:lineRule="atLeast"/>
              <w:jc w:val="both"/>
              <w:rPr>
                <w:rFonts w:ascii="Times New Roman" w:hAnsi="Times New Roman" w:cs="Times New Roman"/>
                <w:sz w:val="20"/>
                <w:szCs w:val="20"/>
              </w:rPr>
            </w:pPr>
            <w:r w:rsidRPr="00591D14">
              <w:rPr>
                <w:rFonts w:ascii="Times New Roman" w:hAnsi="Times New Roman" w:cs="Times New Roman"/>
                <w:sz w:val="20"/>
                <w:szCs w:val="20"/>
              </w:rPr>
              <w:t>в том числе:</w:t>
            </w:r>
          </w:p>
        </w:tc>
        <w:tc>
          <w:tcPr>
            <w:tcW w:w="1559" w:type="dxa"/>
            <w:vAlign w:val="center"/>
          </w:tcPr>
          <w:p w:rsidR="005F7112" w:rsidRPr="00591D14" w:rsidRDefault="005F7112" w:rsidP="007F2F4C">
            <w:pPr>
              <w:spacing w:line="220" w:lineRule="atLeast"/>
              <w:jc w:val="center"/>
              <w:rPr>
                <w:rFonts w:ascii="Times New Roman" w:hAnsi="Times New Roman" w:cs="Times New Roman"/>
                <w:sz w:val="20"/>
                <w:szCs w:val="20"/>
              </w:rPr>
            </w:pPr>
          </w:p>
        </w:tc>
        <w:tc>
          <w:tcPr>
            <w:tcW w:w="1701" w:type="dxa"/>
          </w:tcPr>
          <w:p w:rsidR="005F7112" w:rsidRPr="00591D14" w:rsidRDefault="005F7112" w:rsidP="007F2F4C">
            <w:pPr>
              <w:spacing w:line="220" w:lineRule="atLeast"/>
              <w:jc w:val="center"/>
              <w:rPr>
                <w:rFonts w:ascii="Times New Roman" w:hAnsi="Times New Roman" w:cs="Times New Roman"/>
                <w:sz w:val="20"/>
                <w:szCs w:val="20"/>
              </w:rPr>
            </w:pPr>
          </w:p>
        </w:tc>
        <w:tc>
          <w:tcPr>
            <w:tcW w:w="1843" w:type="dxa"/>
            <w:vAlign w:val="center"/>
          </w:tcPr>
          <w:p w:rsidR="005F7112" w:rsidRPr="00591D14" w:rsidRDefault="005F7112" w:rsidP="007F2F4C">
            <w:pPr>
              <w:spacing w:line="220" w:lineRule="atLeast"/>
              <w:jc w:val="center"/>
              <w:rPr>
                <w:rFonts w:ascii="Times New Roman" w:hAnsi="Times New Roman" w:cs="Times New Roman"/>
                <w:sz w:val="20"/>
                <w:szCs w:val="20"/>
              </w:rPr>
            </w:pPr>
          </w:p>
        </w:tc>
      </w:tr>
      <w:tr w:rsidR="005F7112" w:rsidTr="001C32D5">
        <w:trPr>
          <w:jc w:val="center"/>
        </w:trPr>
        <w:tc>
          <w:tcPr>
            <w:tcW w:w="4673" w:type="dxa"/>
            <w:vAlign w:val="center"/>
          </w:tcPr>
          <w:p w:rsidR="005F7112" w:rsidRPr="00591D14" w:rsidRDefault="005F7112" w:rsidP="007F2F4C">
            <w:pPr>
              <w:spacing w:line="220" w:lineRule="atLeast"/>
              <w:jc w:val="both"/>
              <w:rPr>
                <w:rFonts w:ascii="Times New Roman" w:hAnsi="Times New Roman" w:cs="Times New Roman"/>
                <w:sz w:val="20"/>
                <w:szCs w:val="20"/>
              </w:rPr>
            </w:pPr>
            <w:r w:rsidRPr="00591D14">
              <w:rPr>
                <w:rFonts w:ascii="Times New Roman" w:hAnsi="Times New Roman" w:cs="Times New Roman"/>
                <w:sz w:val="20"/>
                <w:szCs w:val="20"/>
              </w:rPr>
              <w:t>Кредиты кредитных организаций в валюте Российской Федерации</w:t>
            </w:r>
          </w:p>
        </w:tc>
        <w:tc>
          <w:tcPr>
            <w:tcW w:w="1559" w:type="dxa"/>
            <w:vAlign w:val="center"/>
          </w:tcPr>
          <w:p w:rsidR="005F7112" w:rsidRPr="00591D14" w:rsidRDefault="002A230B" w:rsidP="00CF0A64">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 xml:space="preserve">760 </w:t>
            </w:r>
            <w:r w:rsidR="0096215C" w:rsidRPr="00591D14">
              <w:rPr>
                <w:rFonts w:ascii="Times New Roman" w:hAnsi="Times New Roman" w:cs="Times New Roman"/>
                <w:sz w:val="20"/>
                <w:szCs w:val="20"/>
              </w:rPr>
              <w:t>158,0</w:t>
            </w:r>
          </w:p>
        </w:tc>
        <w:tc>
          <w:tcPr>
            <w:tcW w:w="1701" w:type="dxa"/>
            <w:vAlign w:val="center"/>
          </w:tcPr>
          <w:p w:rsidR="005F7112" w:rsidRPr="00591D14" w:rsidRDefault="00D5782F" w:rsidP="00427045">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7</w:t>
            </w:r>
            <w:r w:rsidR="004A31F9" w:rsidRPr="00591D14">
              <w:rPr>
                <w:rFonts w:ascii="Times New Roman" w:hAnsi="Times New Roman" w:cs="Times New Roman"/>
                <w:sz w:val="20"/>
                <w:szCs w:val="20"/>
              </w:rPr>
              <w:t>3</w:t>
            </w:r>
            <w:r w:rsidRPr="00591D14">
              <w:rPr>
                <w:rFonts w:ascii="Times New Roman" w:hAnsi="Times New Roman" w:cs="Times New Roman"/>
                <w:sz w:val="20"/>
                <w:szCs w:val="20"/>
              </w:rPr>
              <w:t>0</w:t>
            </w:r>
            <w:r w:rsidR="005F7112" w:rsidRPr="00591D14">
              <w:rPr>
                <w:rFonts w:ascii="Times New Roman" w:hAnsi="Times New Roman" w:cs="Times New Roman"/>
                <w:sz w:val="20"/>
                <w:szCs w:val="20"/>
              </w:rPr>
              <w:t xml:space="preserve"> дней</w:t>
            </w:r>
          </w:p>
        </w:tc>
        <w:tc>
          <w:tcPr>
            <w:tcW w:w="1843" w:type="dxa"/>
            <w:vAlign w:val="center"/>
          </w:tcPr>
          <w:p w:rsidR="005F7112" w:rsidRPr="00591D14" w:rsidRDefault="004147A9" w:rsidP="00D578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0,0</w:t>
            </w:r>
          </w:p>
        </w:tc>
      </w:tr>
      <w:tr w:rsidR="003C492F" w:rsidTr="001C32D5">
        <w:trPr>
          <w:jc w:val="center"/>
        </w:trPr>
        <w:tc>
          <w:tcPr>
            <w:tcW w:w="4673" w:type="dxa"/>
          </w:tcPr>
          <w:p w:rsidR="003C492F" w:rsidRPr="00591D14" w:rsidRDefault="003C492F" w:rsidP="003C492F">
            <w:pPr>
              <w:autoSpaceDE w:val="0"/>
              <w:autoSpaceDN w:val="0"/>
              <w:adjustRightInd w:val="0"/>
              <w:jc w:val="both"/>
              <w:rPr>
                <w:rFonts w:ascii="Times New Roman" w:hAnsi="Times New Roman" w:cs="Times New Roman"/>
                <w:sz w:val="20"/>
                <w:szCs w:val="20"/>
              </w:rPr>
            </w:pPr>
            <w:r w:rsidRPr="00591D14">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0,0</w:t>
            </w:r>
          </w:p>
        </w:tc>
        <w:tc>
          <w:tcPr>
            <w:tcW w:w="1701"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Х</w:t>
            </w:r>
          </w:p>
        </w:tc>
        <w:tc>
          <w:tcPr>
            <w:tcW w:w="1843"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- 49 053,0</w:t>
            </w:r>
          </w:p>
        </w:tc>
      </w:tr>
      <w:tr w:rsidR="003C492F" w:rsidTr="001C32D5">
        <w:trPr>
          <w:jc w:val="center"/>
        </w:trPr>
        <w:tc>
          <w:tcPr>
            <w:tcW w:w="4673" w:type="dxa"/>
          </w:tcPr>
          <w:p w:rsidR="003C492F" w:rsidRPr="00591D14" w:rsidRDefault="003C492F" w:rsidP="003C492F">
            <w:pPr>
              <w:autoSpaceDE w:val="0"/>
              <w:autoSpaceDN w:val="0"/>
              <w:adjustRightInd w:val="0"/>
              <w:jc w:val="both"/>
              <w:rPr>
                <w:rFonts w:ascii="Times New Roman" w:hAnsi="Times New Roman" w:cs="Times New Roman"/>
                <w:sz w:val="20"/>
                <w:szCs w:val="20"/>
              </w:rPr>
            </w:pPr>
            <w:r w:rsidRPr="00591D14">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lang w:val="en-US"/>
              </w:rPr>
              <w:t>1 0</w:t>
            </w:r>
            <w:r w:rsidRPr="00591D14">
              <w:rPr>
                <w:rFonts w:ascii="Times New Roman" w:hAnsi="Times New Roman" w:cs="Times New Roman"/>
                <w:sz w:val="20"/>
                <w:szCs w:val="20"/>
              </w:rPr>
              <w:t>00 000,0</w:t>
            </w:r>
          </w:p>
        </w:tc>
        <w:tc>
          <w:tcPr>
            <w:tcW w:w="1701"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3</w:t>
            </w:r>
            <w:r w:rsidRPr="00591D14">
              <w:rPr>
                <w:rFonts w:ascii="Times New Roman" w:hAnsi="Times New Roman" w:cs="Times New Roman"/>
                <w:sz w:val="20"/>
                <w:szCs w:val="20"/>
                <w:lang w:val="en-US"/>
              </w:rPr>
              <w:t>3</w:t>
            </w:r>
            <w:r w:rsidRPr="00591D14">
              <w:rPr>
                <w:rFonts w:ascii="Times New Roman" w:hAnsi="Times New Roman" w:cs="Times New Roman"/>
                <w:sz w:val="20"/>
                <w:szCs w:val="20"/>
              </w:rPr>
              <w:t>5 дней</w:t>
            </w:r>
          </w:p>
        </w:tc>
        <w:tc>
          <w:tcPr>
            <w:tcW w:w="1843"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 xml:space="preserve">- </w:t>
            </w:r>
            <w:r w:rsidRPr="00591D14">
              <w:rPr>
                <w:rFonts w:ascii="Times New Roman" w:hAnsi="Times New Roman" w:cs="Times New Roman"/>
                <w:sz w:val="20"/>
                <w:szCs w:val="20"/>
                <w:lang w:val="en-US"/>
              </w:rPr>
              <w:t>1 0</w:t>
            </w:r>
            <w:r w:rsidRPr="00591D14">
              <w:rPr>
                <w:rFonts w:ascii="Times New Roman" w:hAnsi="Times New Roman" w:cs="Times New Roman"/>
                <w:sz w:val="20"/>
                <w:szCs w:val="20"/>
              </w:rPr>
              <w:t>00 000,0</w:t>
            </w:r>
          </w:p>
        </w:tc>
      </w:tr>
      <w:tr w:rsidR="003C492F" w:rsidTr="001C32D5">
        <w:trPr>
          <w:jc w:val="center"/>
        </w:trPr>
        <w:tc>
          <w:tcPr>
            <w:tcW w:w="4673" w:type="dxa"/>
          </w:tcPr>
          <w:p w:rsidR="003C492F" w:rsidRPr="00591D14" w:rsidRDefault="003C492F" w:rsidP="003C492F">
            <w:pPr>
              <w:autoSpaceDE w:val="0"/>
              <w:autoSpaceDN w:val="0"/>
              <w:adjustRightInd w:val="0"/>
              <w:jc w:val="both"/>
              <w:rPr>
                <w:rFonts w:ascii="Times New Roman" w:hAnsi="Times New Roman" w:cs="Times New Roman"/>
                <w:sz w:val="20"/>
                <w:szCs w:val="20"/>
              </w:rPr>
            </w:pPr>
            <w:r w:rsidRPr="00591D14">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407 609,5</w:t>
            </w:r>
          </w:p>
        </w:tc>
        <w:tc>
          <w:tcPr>
            <w:tcW w:w="1701"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Х</w:t>
            </w:r>
          </w:p>
        </w:tc>
        <w:tc>
          <w:tcPr>
            <w:tcW w:w="1843"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0,0</w:t>
            </w:r>
            <w:r w:rsidR="00591D14" w:rsidRPr="00591D14">
              <w:rPr>
                <w:rFonts w:ascii="Times New Roman" w:hAnsi="Times New Roman" w:cs="Times New Roman"/>
                <w:sz w:val="20"/>
                <w:szCs w:val="20"/>
              </w:rPr>
              <w:t>»</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961648">
      <w:headerReference w:type="default" r:id="rId6"/>
      <w:pgSz w:w="11906" w:h="16838"/>
      <w:pgMar w:top="1418" w:right="851" w:bottom="1134" w:left="1418"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87" w:rsidRDefault="00080587" w:rsidP="00080587">
      <w:pPr>
        <w:spacing w:after="0" w:line="240" w:lineRule="auto"/>
      </w:pPr>
      <w:r>
        <w:separator/>
      </w:r>
    </w:p>
  </w:endnote>
  <w:endnote w:type="continuationSeparator" w:id="0">
    <w:p w:rsidR="00080587" w:rsidRDefault="00080587"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87" w:rsidRDefault="00080587" w:rsidP="00080587">
      <w:pPr>
        <w:spacing w:after="0" w:line="240" w:lineRule="auto"/>
      </w:pPr>
      <w:r>
        <w:separator/>
      </w:r>
    </w:p>
  </w:footnote>
  <w:footnote w:type="continuationSeparator" w:id="0">
    <w:p w:rsidR="00080587" w:rsidRDefault="00080587"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80953"/>
      <w:docPartObj>
        <w:docPartGallery w:val="Page Numbers (Top of Page)"/>
        <w:docPartUnique/>
      </w:docPartObj>
    </w:sdtPr>
    <w:sdtEndPr>
      <w:rPr>
        <w:rFonts w:ascii="Times New Roman" w:hAnsi="Times New Roman" w:cs="Times New Roman"/>
        <w:sz w:val="24"/>
        <w:szCs w:val="24"/>
      </w:rPr>
    </w:sdtEndPr>
    <w:sdtContent>
      <w:p w:rsidR="00080587" w:rsidRPr="00080587" w:rsidRDefault="00080587">
        <w:pPr>
          <w:pStyle w:val="a6"/>
          <w:jc w:val="center"/>
          <w:rPr>
            <w:rFonts w:ascii="Times New Roman" w:hAnsi="Times New Roman" w:cs="Times New Roman"/>
            <w:sz w:val="24"/>
            <w:szCs w:val="24"/>
          </w:rPr>
        </w:pPr>
        <w:r w:rsidRPr="00080587">
          <w:rPr>
            <w:rFonts w:ascii="Times New Roman" w:hAnsi="Times New Roman" w:cs="Times New Roman"/>
            <w:sz w:val="24"/>
            <w:szCs w:val="24"/>
          </w:rPr>
          <w:fldChar w:fldCharType="begin"/>
        </w:r>
        <w:r w:rsidRPr="00080587">
          <w:rPr>
            <w:rFonts w:ascii="Times New Roman" w:hAnsi="Times New Roman" w:cs="Times New Roman"/>
            <w:sz w:val="24"/>
            <w:szCs w:val="24"/>
          </w:rPr>
          <w:instrText>PAGE   \* MERGEFORMAT</w:instrText>
        </w:r>
        <w:r w:rsidRPr="00080587">
          <w:rPr>
            <w:rFonts w:ascii="Times New Roman" w:hAnsi="Times New Roman" w:cs="Times New Roman"/>
            <w:sz w:val="24"/>
            <w:szCs w:val="24"/>
          </w:rPr>
          <w:fldChar w:fldCharType="separate"/>
        </w:r>
        <w:r w:rsidR="00961648">
          <w:rPr>
            <w:rFonts w:ascii="Times New Roman" w:hAnsi="Times New Roman" w:cs="Times New Roman"/>
            <w:noProof/>
            <w:sz w:val="24"/>
            <w:szCs w:val="24"/>
          </w:rPr>
          <w:t>14</w:t>
        </w:r>
        <w:r w:rsidRPr="00080587">
          <w:rPr>
            <w:rFonts w:ascii="Times New Roman" w:hAnsi="Times New Roman" w:cs="Times New Roman"/>
            <w:sz w:val="24"/>
            <w:szCs w:val="24"/>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080587"/>
    <w:rsid w:val="00145238"/>
    <w:rsid w:val="00182EA2"/>
    <w:rsid w:val="001C32D5"/>
    <w:rsid w:val="002A230B"/>
    <w:rsid w:val="003C492F"/>
    <w:rsid w:val="004147A9"/>
    <w:rsid w:val="00427045"/>
    <w:rsid w:val="00450297"/>
    <w:rsid w:val="004A31F9"/>
    <w:rsid w:val="004E2BAC"/>
    <w:rsid w:val="004F0DDB"/>
    <w:rsid w:val="005545C1"/>
    <w:rsid w:val="00591D14"/>
    <w:rsid w:val="005F7112"/>
    <w:rsid w:val="00651BE3"/>
    <w:rsid w:val="006C5354"/>
    <w:rsid w:val="006E17B4"/>
    <w:rsid w:val="0071615D"/>
    <w:rsid w:val="00725F93"/>
    <w:rsid w:val="00742BF1"/>
    <w:rsid w:val="0075212F"/>
    <w:rsid w:val="007D1C00"/>
    <w:rsid w:val="007F2F4C"/>
    <w:rsid w:val="008E11A8"/>
    <w:rsid w:val="00961648"/>
    <w:rsid w:val="0096215C"/>
    <w:rsid w:val="00A104D9"/>
    <w:rsid w:val="00A92A24"/>
    <w:rsid w:val="00AD3D68"/>
    <w:rsid w:val="00B917D7"/>
    <w:rsid w:val="00BE73B6"/>
    <w:rsid w:val="00C50894"/>
    <w:rsid w:val="00C60776"/>
    <w:rsid w:val="00CF0A64"/>
    <w:rsid w:val="00D5782F"/>
    <w:rsid w:val="00DB15F4"/>
    <w:rsid w:val="00DD6AEE"/>
    <w:rsid w:val="00E6101C"/>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Badikin</cp:lastModifiedBy>
  <cp:revision>6</cp:revision>
  <cp:lastPrinted>2023-06-21T10:11:00Z</cp:lastPrinted>
  <dcterms:created xsi:type="dcterms:W3CDTF">2023-06-20T03:43:00Z</dcterms:created>
  <dcterms:modified xsi:type="dcterms:W3CDTF">2023-06-23T02:32:00Z</dcterms:modified>
</cp:coreProperties>
</file>