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39"/>
        <w:gridCol w:w="3409"/>
      </w:tblGrid>
      <w:tr w:rsidR="00945C8B" w:rsidRPr="00015719" w:rsidTr="00A5433E">
        <w:trPr>
          <w:trHeight w:val="2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892E06" w:rsidP="00AD3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2753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AD3D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753AB"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371FC1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152" w:rsidRPr="003B5598" w:rsidRDefault="003B5598" w:rsidP="00793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 Президента РФ от 07.05.2024 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№ 309 «</w:t>
            </w:r>
            <w:r w:rsidRPr="003B5598">
              <w:rPr>
                <w:rFonts w:ascii="Times New Roman" w:hAnsi="Times New Roman" w:cs="Times New Roman"/>
                <w:b/>
                <w:sz w:val="28"/>
                <w:szCs w:val="28"/>
              </w:rPr>
              <w:t>О национальных целях развития Российской Федерации на период до 2030 года и на перспективу до 2036 года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B5598" w:rsidRPr="003B5598" w:rsidRDefault="003B5598" w:rsidP="00793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- 07.05.2024.</w:t>
            </w:r>
          </w:p>
          <w:p w:rsidR="003B5598" w:rsidRPr="003B5598" w:rsidRDefault="003B5598" w:rsidP="003B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sz w:val="28"/>
                <w:szCs w:val="28"/>
              </w:rPr>
              <w:t>Президентом определены национальные цели развития Российской Федерации на период до 2030 года и на перспективу до 2036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598" w:rsidRPr="003B5598" w:rsidRDefault="003B5598" w:rsidP="003B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sz w:val="28"/>
                <w:szCs w:val="28"/>
              </w:rPr>
              <w:t>В качестве национальных целей развития РФ на указанный период в Указе названы следующие: сохранение населения, укрепление здоровья и повышение благополучия людей, поддержка семьи; реализация потенциала каждого человека, развитие его талантов, воспитание патриотичной и социально ответственной личности; комфортная и безопасная среда для жизни; экологическое благополучие; устойчивая и динамичная экономика; технологическое лидерство; цифровая трансформация государственного и муниципального управления, экономики и социальной сферы.</w:t>
            </w:r>
          </w:p>
          <w:p w:rsidR="003B5598" w:rsidRPr="003B5598" w:rsidRDefault="003B5598" w:rsidP="003B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sz w:val="28"/>
                <w:szCs w:val="28"/>
              </w:rPr>
              <w:t>Документом также закреплены целевые показатели и задачи, выполнение которых необходимо для достижения вышеназванных национальных целей. Так, в частности, планируется:</w:t>
            </w:r>
          </w:p>
          <w:p w:rsidR="003B5598" w:rsidRPr="003B5598" w:rsidRDefault="003B5598" w:rsidP="003B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sz w:val="28"/>
                <w:szCs w:val="28"/>
              </w:rPr>
              <w:t>увеличить ожидаемую продолжительность жизни до 78 лет к 2030 году и до 81 года к 2036 году;</w:t>
            </w:r>
          </w:p>
          <w:p w:rsidR="003B5598" w:rsidRPr="003B5598" w:rsidRDefault="003B5598" w:rsidP="003B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sz w:val="28"/>
                <w:szCs w:val="28"/>
              </w:rPr>
              <w:t>обеспечить рост МРОТ к 2030 году более чем в два раза по сравнению с суммой, установленной на 2023 год, с достижением его величины не менее чем 35 тыс. рублей в месяц;</w:t>
            </w:r>
          </w:p>
          <w:p w:rsidR="003B5598" w:rsidRPr="003B5598" w:rsidRDefault="003B5598" w:rsidP="003B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sz w:val="28"/>
                <w:szCs w:val="28"/>
              </w:rPr>
              <w:t>обеспечить граждан жильем общей площадью не менее 33 кв. метров на человека к 2030 году и не менее 38 кв. метров к 2036 году;</w:t>
            </w:r>
          </w:p>
          <w:p w:rsidR="003B5598" w:rsidRPr="003B5598" w:rsidRDefault="003B5598" w:rsidP="003B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устойчивый рост доходов населения и уровня пенсионного обеспечения не ниже уровня инфляции;</w:t>
            </w:r>
          </w:p>
          <w:p w:rsidR="003B5598" w:rsidRPr="003B5598" w:rsidRDefault="003B5598" w:rsidP="003B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sz w:val="28"/>
                <w:szCs w:val="28"/>
              </w:rPr>
              <w:t>снизить уровень бедности - ниже 7% к 2030 году и ниже 5% к 2036 году, в том числе уровень бедности многодетных семей (до 12% к 2030 году и до 8% к 2036 году).</w:t>
            </w:r>
          </w:p>
          <w:p w:rsidR="003B5598" w:rsidRPr="00A933D8" w:rsidRDefault="003B5598" w:rsidP="003B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Указ вступает в силу со дня его подписания. Признан утратившим силу Указ Президента от 21 июля 2020 г. </w:t>
            </w:r>
            <w:r w:rsidR="00A54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5598">
              <w:rPr>
                <w:rFonts w:ascii="Times New Roman" w:hAnsi="Times New Roman" w:cs="Times New Roman"/>
                <w:sz w:val="28"/>
                <w:szCs w:val="28"/>
              </w:rPr>
              <w:t xml:space="preserve"> 474 </w:t>
            </w:r>
            <w:r w:rsidR="00A543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5598">
              <w:rPr>
                <w:rFonts w:ascii="Times New Roman" w:hAnsi="Times New Roman" w:cs="Times New Roman"/>
                <w:sz w:val="28"/>
                <w:szCs w:val="28"/>
              </w:rPr>
              <w:t>О национальных целях развития Российской Федерации на период до 2030 года</w:t>
            </w:r>
            <w:r w:rsidR="00A543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5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AA714B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E41BF3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F3" w:rsidRPr="001000FF" w:rsidRDefault="00E41BF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BF3" w:rsidRDefault="00190194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22.04.2024 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9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522 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9019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0194" w:rsidRDefault="00190194" w:rsidP="00190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действия документа - 23.04.2024.</w:t>
            </w:r>
          </w:p>
          <w:p w:rsidR="00190194" w:rsidRPr="00190194" w:rsidRDefault="00190194" w:rsidP="0019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запуском ГИС </w:t>
            </w:r>
            <w:r w:rsidR="00A543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>Единая централизованная цифровая платформа в социальной сфере</w:t>
            </w:r>
            <w:r w:rsidR="00A543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 xml:space="preserve"> в ряд актов Правительства внесены юридико-технические изменения.</w:t>
            </w:r>
          </w:p>
          <w:p w:rsidR="00190194" w:rsidRPr="00190194" w:rsidRDefault="00190194" w:rsidP="0019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>В частности, необходимые уточнения внесены в:</w:t>
            </w:r>
          </w:p>
          <w:p w:rsidR="00190194" w:rsidRPr="00190194" w:rsidRDefault="00190194" w:rsidP="0019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осуществления ежемесячных выплат трудоспособным лицам, осуществляющим уход за детьми-инвалидами в возрасте до 18 лет или инвалидами с детства I группы (утв. постановлением Правительства от 2 мая 2013 г. </w:t>
            </w:r>
            <w:r w:rsidR="00A54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 xml:space="preserve"> 397);</w:t>
            </w:r>
          </w:p>
          <w:p w:rsidR="00190194" w:rsidRPr="00190194" w:rsidRDefault="00190194" w:rsidP="0019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подсчета и подтверждения страхового стажа для установления страховых пенсий (утв. постановлением Правительства от 2 октября 2014 г. </w:t>
            </w:r>
            <w:r w:rsidR="00A54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 xml:space="preserve"> 1015);</w:t>
            </w:r>
          </w:p>
          <w:p w:rsidR="00190194" w:rsidRPr="00190194" w:rsidRDefault="00190194" w:rsidP="0019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(утв. постановлением Правительства от 10 декабря 2002 г. </w:t>
            </w:r>
            <w:r w:rsidR="00A54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 xml:space="preserve"> 879) и др.</w:t>
            </w:r>
          </w:p>
          <w:p w:rsidR="00190194" w:rsidRPr="00885A3D" w:rsidRDefault="00190194" w:rsidP="00190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F3" w:rsidRPr="004D0598" w:rsidRDefault="00D121C8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41BF3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F3" w:rsidRPr="001000FF" w:rsidRDefault="00E41BF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98" w:rsidRPr="003B5598" w:rsidRDefault="003B5598" w:rsidP="00190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25.04.2024 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540 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B55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B5598" w:rsidRPr="003B5598" w:rsidRDefault="003B5598" w:rsidP="00190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9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- 25.04.2024.</w:t>
            </w:r>
          </w:p>
          <w:p w:rsidR="00190194" w:rsidRPr="00190194" w:rsidRDefault="00190194" w:rsidP="0019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некоторые акты Правительства РФ, регулирующие вопросы предоставления государственных и муниципальных услуг</w:t>
            </w:r>
            <w:r w:rsidR="003B5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BF3" w:rsidRPr="00E41BF3" w:rsidRDefault="00190194" w:rsidP="0019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частности, уточнены функции Минэкономразвития России по ведению информационного ресурса федерального реестра, уточнены правила ведения федеральной государственной информационной системы </w:t>
            </w:r>
            <w:r w:rsidR="00A543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>Федеральный реестр государственных и муниципальных услуг (функций)</w:t>
            </w:r>
            <w:r w:rsidR="00A543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0194">
              <w:rPr>
                <w:rFonts w:ascii="Times New Roman" w:hAnsi="Times New Roman" w:cs="Times New Roman"/>
                <w:sz w:val="28"/>
                <w:szCs w:val="28"/>
              </w:rPr>
              <w:t>, дополнены правила разработки и утверждения административных регламентов предоставления государственных услуг.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F3" w:rsidRPr="004D0598" w:rsidRDefault="008D5814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371FC1" w:rsidRPr="00015719" w:rsidTr="00A5433E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AB" w:rsidRDefault="006A66DA" w:rsidP="003E2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06.05.2024 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A6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592 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A66DA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утратившими силу некоторых актов Правительства Российской Федерации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66DA" w:rsidRDefault="006A66DA" w:rsidP="003E2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- 01.01.2025 (за исключением отдельных положений).</w:t>
            </w:r>
          </w:p>
          <w:p w:rsidR="006A66DA" w:rsidRPr="006A66DA" w:rsidRDefault="006A66DA" w:rsidP="006A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Установлены сроки признания утратившими силу некоторых актов Правительства, регулирующих вопросы предоставления субсидий творческим организациям и государственной поддержки творческой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6DA" w:rsidRPr="006A66DA" w:rsidRDefault="006A66DA" w:rsidP="006A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Так, Постановлением утверждены:</w:t>
            </w:r>
          </w:p>
          <w:p w:rsidR="006A66DA" w:rsidRPr="006A66DA" w:rsidRDefault="006A66DA" w:rsidP="006A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перечень актов Правительства, которые признаются утратившими силу с 1 января 2025 года;</w:t>
            </w:r>
          </w:p>
          <w:p w:rsidR="006A66DA" w:rsidRPr="00371FC1" w:rsidRDefault="006A66DA" w:rsidP="006A6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перечень актов Правительства, которые признаются утратившими силу с 1 января 2026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950611" w:rsidRDefault="004D757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7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C66F7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1000FF" w:rsidRDefault="006C66F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BF3" w:rsidRPr="00040223" w:rsidRDefault="00A6440F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08.05.2024 </w:t>
            </w:r>
            <w:r w:rsidR="00A543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D7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1122-р «</w:t>
            </w:r>
            <w:r w:rsidRPr="00040223">
              <w:rPr>
                <w:rFonts w:ascii="Times New Roman" w:hAnsi="Times New Roman" w:cs="Times New Roman"/>
                <w:b/>
                <w:sz w:val="28"/>
                <w:szCs w:val="28"/>
              </w:rPr>
              <w:t>О выделении в 2024 году МЧС России бюджетных ассигнований в целях предоставления иных межбюджетных трансфертов бюджетам субъектов РФ, обеспечивающих прием граждан РФ, иностранных граждан и лиц без гражданства, постоянно проживающих на территории Украины, а также на территориях субъектов РФ, на которых введены максимальный и средний уровни реагирования, вынужден</w:t>
            </w:r>
            <w:r w:rsidR="004D757C">
              <w:rPr>
                <w:rFonts w:ascii="Times New Roman" w:hAnsi="Times New Roman" w:cs="Times New Roman"/>
                <w:b/>
                <w:sz w:val="28"/>
                <w:szCs w:val="28"/>
              </w:rPr>
              <w:t>но покинувших жилые помещения»</w:t>
            </w:r>
          </w:p>
          <w:p w:rsidR="00040223" w:rsidRPr="00040223" w:rsidRDefault="00040223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223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- 08.05.2024.</w:t>
            </w:r>
          </w:p>
          <w:p w:rsidR="00040223" w:rsidRPr="00FA62A5" w:rsidRDefault="00040223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0402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Федерации, обеспечивающих прием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помещения, для возмещения </w:t>
            </w:r>
            <w:r w:rsidRPr="00040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понесенных в 2023 - 2024 годах субъектами Российской Федерации расходов на размещение и питание указанных граждан и лиц без гражданства, находившихся в пунктах временного размещения и питания.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040223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23" w:rsidRPr="001000FF" w:rsidRDefault="0004022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23" w:rsidRDefault="00A5433E" w:rsidP="000402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40223" w:rsidRPr="00040223">
              <w:rPr>
                <w:rFonts w:ascii="Times New Roman" w:hAnsi="Times New Roman" w:cs="Times New Roman"/>
                <w:b/>
                <w:sz w:val="28"/>
                <w:szCs w:val="28"/>
              </w:rPr>
              <w:t>Обзор результатов обобщения и анализа правоприменительной практики контроля (надзора), осуществляемого Федеральной службой по финансовому мониторингу, за 2023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D5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40223" w:rsidRPr="0004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(подготовлен </w:t>
            </w:r>
            <w:proofErr w:type="spellStart"/>
            <w:r w:rsidR="00040223" w:rsidRPr="00040223">
              <w:rPr>
                <w:rFonts w:ascii="Times New Roman" w:hAnsi="Times New Roman" w:cs="Times New Roman"/>
                <w:b/>
                <w:sz w:val="28"/>
                <w:szCs w:val="28"/>
              </w:rPr>
              <w:t>Росфинмониторингом</w:t>
            </w:r>
            <w:proofErr w:type="spellEnd"/>
            <w:r w:rsidR="00040223" w:rsidRPr="000402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A66DA" w:rsidRPr="006A66DA" w:rsidRDefault="006A66DA" w:rsidP="006A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обзор результатов обобщения и анализа правоприменительной практики контроля (надзора), осуществляемого </w:t>
            </w:r>
            <w:proofErr w:type="spellStart"/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Росфинмониторингом</w:t>
            </w:r>
            <w:proofErr w:type="spellEnd"/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, за 2023 год.</w:t>
            </w:r>
          </w:p>
          <w:p w:rsidR="006A66DA" w:rsidRPr="006A66DA" w:rsidRDefault="006A66DA" w:rsidP="006A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Обзор подготовлен в целях обеспечения осведомленности контролируемых лиц:</w:t>
            </w:r>
          </w:p>
          <w:p w:rsidR="006A66DA" w:rsidRPr="006A66DA" w:rsidRDefault="006A66DA" w:rsidP="006A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о типовых нарушениях требований законодательства о ПОД/ФТ, выявленных по результатам дистанционного мониторинга и контрольных мероприятий;</w:t>
            </w:r>
          </w:p>
          <w:p w:rsidR="006A66DA" w:rsidRPr="006A66DA" w:rsidRDefault="006A66DA" w:rsidP="006A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о причинах, способствующих допущению нарушений требований законодательства о ПОД/ФТ;</w:t>
            </w:r>
          </w:p>
          <w:p w:rsidR="006A66DA" w:rsidRPr="006A66DA" w:rsidRDefault="006A66DA" w:rsidP="006A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анализа сведений, представленных контролируемыми лицами в </w:t>
            </w:r>
            <w:proofErr w:type="spellStart"/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Росфинмониторинг</w:t>
            </w:r>
            <w:proofErr w:type="spellEnd"/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6DA" w:rsidRPr="00040223" w:rsidRDefault="006A66DA" w:rsidP="006A6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DA">
              <w:rPr>
                <w:rFonts w:ascii="Times New Roman" w:hAnsi="Times New Roman" w:cs="Times New Roman"/>
                <w:sz w:val="28"/>
                <w:szCs w:val="28"/>
              </w:rPr>
              <w:t xml:space="preserve">Также в Обзор включена информация о результатах оказания государственной услуги - постановке на учет/снятии с учета в </w:t>
            </w:r>
            <w:proofErr w:type="spellStart"/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Росфинмониторинге</w:t>
            </w:r>
            <w:proofErr w:type="spellEnd"/>
            <w:r w:rsidRPr="006A6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23" w:rsidRPr="006C66F7" w:rsidRDefault="004D757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7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5433E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E" w:rsidRPr="001000FF" w:rsidRDefault="00A5433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33E" w:rsidRDefault="00A5433E" w:rsidP="000402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54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619203-8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5433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226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54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06.05.2024)</w:t>
            </w:r>
          </w:p>
          <w:p w:rsidR="00A5433E" w:rsidRPr="00A5433E" w:rsidRDefault="00A5433E" w:rsidP="00A54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</w:t>
            </w:r>
            <w:r w:rsidRPr="00A54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Л.Э.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Слуцким, С.Д. Леоновым, А.К. Луговым, Б.А.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В.А. Кошелевым, В.В. Кулиевой, Е.В. Марковым, С.А. Наумовым, Я.Е. Ниловым, К.М.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Панешем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5433E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Свинцовым, А.Н.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Свистуновым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5433E">
              <w:rPr>
                <w:rFonts w:ascii="Times New Roman" w:hAnsi="Times New Roman" w:cs="Times New Roman"/>
                <w:b/>
                <w:sz w:val="28"/>
                <w:szCs w:val="28"/>
              </w:rPr>
              <w:t>В.В. Сипягиным, И.К. Сухаревым</w:t>
            </w:r>
          </w:p>
          <w:p w:rsidR="00A5433E" w:rsidRPr="00A5433E" w:rsidRDefault="00A5433E" w:rsidP="00A5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E">
              <w:rPr>
                <w:rFonts w:ascii="Times New Roman" w:hAnsi="Times New Roman" w:cs="Times New Roman"/>
                <w:sz w:val="28"/>
                <w:szCs w:val="28"/>
              </w:rPr>
              <w:t>Законопроектом предлагается внести изменения в статью 226 части второй Налогового кодекса Российской Федерации, которая будет устанавливать заявительный характер налогоплательщика по выбору места уплаты НДФЛ.</w:t>
            </w:r>
          </w:p>
          <w:p w:rsidR="00A5433E" w:rsidRPr="00040223" w:rsidRDefault="00A5433E" w:rsidP="00A54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3E">
              <w:rPr>
                <w:rFonts w:ascii="Times New Roman" w:hAnsi="Times New Roman" w:cs="Times New Roman"/>
                <w:sz w:val="28"/>
                <w:szCs w:val="28"/>
              </w:rPr>
              <w:t>Принятие законопроекта позволит поддержать небольшие регионы, из которых временно уезжают на заработки в связи с отсутствием работы или низких заработных плат, так как дополнительные средства в виде оплаты НДФЛ в бюджет по месту регистрации налогоплательщика будут расходоваться на благоустройство таких территорий.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E" w:rsidRPr="006C66F7" w:rsidRDefault="004D757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7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 w:rsidP="00B21F0A"/>
    <w:sectPr w:rsidR="00756D14" w:rsidSect="00B21F0A">
      <w:headerReference w:type="default" r:id="rId8"/>
      <w:pgSz w:w="16838" w:h="11906" w:orient="landscape"/>
      <w:pgMar w:top="1701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28183"/>
      <w:docPartObj>
        <w:docPartGallery w:val="Page Numbers (Top of Page)"/>
        <w:docPartUnique/>
      </w:docPartObj>
    </w:sdtPr>
    <w:sdtEndPr/>
    <w:sdtContent>
      <w:p w:rsidR="006706F5" w:rsidRDefault="006706F5" w:rsidP="00B21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8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6486"/>
    <w:rsid w:val="00036A15"/>
    <w:rsid w:val="00037041"/>
    <w:rsid w:val="00040223"/>
    <w:rsid w:val="0004349B"/>
    <w:rsid w:val="000505CD"/>
    <w:rsid w:val="00052472"/>
    <w:rsid w:val="00060471"/>
    <w:rsid w:val="00065652"/>
    <w:rsid w:val="00067085"/>
    <w:rsid w:val="00070435"/>
    <w:rsid w:val="00075CAC"/>
    <w:rsid w:val="00076612"/>
    <w:rsid w:val="00076EC8"/>
    <w:rsid w:val="000776AB"/>
    <w:rsid w:val="00090D97"/>
    <w:rsid w:val="000A2431"/>
    <w:rsid w:val="000B14BF"/>
    <w:rsid w:val="000B6EC0"/>
    <w:rsid w:val="000C0414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5172"/>
    <w:rsid w:val="00126B3F"/>
    <w:rsid w:val="0012766D"/>
    <w:rsid w:val="0013706A"/>
    <w:rsid w:val="00146364"/>
    <w:rsid w:val="001501E1"/>
    <w:rsid w:val="00151131"/>
    <w:rsid w:val="0015159D"/>
    <w:rsid w:val="001538B3"/>
    <w:rsid w:val="001621BB"/>
    <w:rsid w:val="00163DC6"/>
    <w:rsid w:val="00177C77"/>
    <w:rsid w:val="001825E2"/>
    <w:rsid w:val="00190194"/>
    <w:rsid w:val="00193DE8"/>
    <w:rsid w:val="001956C6"/>
    <w:rsid w:val="001A6D83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1FD1"/>
    <w:rsid w:val="001E25CC"/>
    <w:rsid w:val="001E2916"/>
    <w:rsid w:val="001E3E5B"/>
    <w:rsid w:val="001E4CD0"/>
    <w:rsid w:val="0020346C"/>
    <w:rsid w:val="00207F5A"/>
    <w:rsid w:val="0021148D"/>
    <w:rsid w:val="00213D01"/>
    <w:rsid w:val="00221405"/>
    <w:rsid w:val="00227A2D"/>
    <w:rsid w:val="00231B96"/>
    <w:rsid w:val="00240480"/>
    <w:rsid w:val="002411E1"/>
    <w:rsid w:val="0025242A"/>
    <w:rsid w:val="002753AB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4214"/>
    <w:rsid w:val="002B55D8"/>
    <w:rsid w:val="002C3221"/>
    <w:rsid w:val="002D0BCF"/>
    <w:rsid w:val="002D538A"/>
    <w:rsid w:val="002E0E6D"/>
    <w:rsid w:val="002E5B27"/>
    <w:rsid w:val="002E6DA9"/>
    <w:rsid w:val="002E755C"/>
    <w:rsid w:val="002F0335"/>
    <w:rsid w:val="00302526"/>
    <w:rsid w:val="00302C6B"/>
    <w:rsid w:val="0032408C"/>
    <w:rsid w:val="00324B91"/>
    <w:rsid w:val="00325354"/>
    <w:rsid w:val="00327BD8"/>
    <w:rsid w:val="003305E3"/>
    <w:rsid w:val="00330ECE"/>
    <w:rsid w:val="00344425"/>
    <w:rsid w:val="00370B91"/>
    <w:rsid w:val="00371FC1"/>
    <w:rsid w:val="00375669"/>
    <w:rsid w:val="003776BD"/>
    <w:rsid w:val="003848C9"/>
    <w:rsid w:val="00386D44"/>
    <w:rsid w:val="003877A3"/>
    <w:rsid w:val="003921FB"/>
    <w:rsid w:val="003A07BD"/>
    <w:rsid w:val="003A1F4C"/>
    <w:rsid w:val="003A5E1C"/>
    <w:rsid w:val="003B1490"/>
    <w:rsid w:val="003B5598"/>
    <w:rsid w:val="003B70F4"/>
    <w:rsid w:val="003C09C8"/>
    <w:rsid w:val="003C0DF4"/>
    <w:rsid w:val="003C1CE1"/>
    <w:rsid w:val="003C413D"/>
    <w:rsid w:val="003C5FBE"/>
    <w:rsid w:val="003C7A62"/>
    <w:rsid w:val="003D19DE"/>
    <w:rsid w:val="003D3733"/>
    <w:rsid w:val="003D53B7"/>
    <w:rsid w:val="003D58C6"/>
    <w:rsid w:val="003D7609"/>
    <w:rsid w:val="003E27AB"/>
    <w:rsid w:val="00410DC5"/>
    <w:rsid w:val="004128C3"/>
    <w:rsid w:val="00413BE9"/>
    <w:rsid w:val="0041737D"/>
    <w:rsid w:val="004178ED"/>
    <w:rsid w:val="004256F6"/>
    <w:rsid w:val="00434E9C"/>
    <w:rsid w:val="004556F4"/>
    <w:rsid w:val="0045698B"/>
    <w:rsid w:val="00456E24"/>
    <w:rsid w:val="00462153"/>
    <w:rsid w:val="0046730E"/>
    <w:rsid w:val="00472F8C"/>
    <w:rsid w:val="00481F8F"/>
    <w:rsid w:val="004843AE"/>
    <w:rsid w:val="00491D6E"/>
    <w:rsid w:val="004A279E"/>
    <w:rsid w:val="004B486B"/>
    <w:rsid w:val="004B666E"/>
    <w:rsid w:val="004C1CD4"/>
    <w:rsid w:val="004C6927"/>
    <w:rsid w:val="004D0598"/>
    <w:rsid w:val="004D0BAF"/>
    <w:rsid w:val="004D26AC"/>
    <w:rsid w:val="004D757C"/>
    <w:rsid w:val="004E3B80"/>
    <w:rsid w:val="004F7422"/>
    <w:rsid w:val="005019B8"/>
    <w:rsid w:val="005052A9"/>
    <w:rsid w:val="005118F2"/>
    <w:rsid w:val="005122C0"/>
    <w:rsid w:val="00517273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93790"/>
    <w:rsid w:val="005A0CA2"/>
    <w:rsid w:val="005A12A9"/>
    <w:rsid w:val="005A19BA"/>
    <w:rsid w:val="005A2A80"/>
    <w:rsid w:val="005A776F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072A"/>
    <w:rsid w:val="00634E46"/>
    <w:rsid w:val="00646B4F"/>
    <w:rsid w:val="006519C0"/>
    <w:rsid w:val="00657D9B"/>
    <w:rsid w:val="00660444"/>
    <w:rsid w:val="006604E2"/>
    <w:rsid w:val="006612F6"/>
    <w:rsid w:val="00665AE5"/>
    <w:rsid w:val="00665C66"/>
    <w:rsid w:val="006663FE"/>
    <w:rsid w:val="006706F5"/>
    <w:rsid w:val="00684DF0"/>
    <w:rsid w:val="00696E01"/>
    <w:rsid w:val="006A66DA"/>
    <w:rsid w:val="006B05ED"/>
    <w:rsid w:val="006C0359"/>
    <w:rsid w:val="006C275D"/>
    <w:rsid w:val="006C66F7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1042"/>
    <w:rsid w:val="007533E8"/>
    <w:rsid w:val="0075614F"/>
    <w:rsid w:val="00756D14"/>
    <w:rsid w:val="00765AFB"/>
    <w:rsid w:val="00781236"/>
    <w:rsid w:val="00793152"/>
    <w:rsid w:val="007959E7"/>
    <w:rsid w:val="00796537"/>
    <w:rsid w:val="007A4A8D"/>
    <w:rsid w:val="007B27E7"/>
    <w:rsid w:val="007B2AE8"/>
    <w:rsid w:val="007C600D"/>
    <w:rsid w:val="007C69E0"/>
    <w:rsid w:val="007C6AFF"/>
    <w:rsid w:val="007C7BDF"/>
    <w:rsid w:val="007D0E0D"/>
    <w:rsid w:val="007D20FC"/>
    <w:rsid w:val="007D273D"/>
    <w:rsid w:val="007D63CE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85A3D"/>
    <w:rsid w:val="00890375"/>
    <w:rsid w:val="00890592"/>
    <w:rsid w:val="00892DFC"/>
    <w:rsid w:val="00892E06"/>
    <w:rsid w:val="00895526"/>
    <w:rsid w:val="008956E3"/>
    <w:rsid w:val="008B0C55"/>
    <w:rsid w:val="008B1AF0"/>
    <w:rsid w:val="008B2529"/>
    <w:rsid w:val="008B40F5"/>
    <w:rsid w:val="008B491C"/>
    <w:rsid w:val="008C17FF"/>
    <w:rsid w:val="008D5814"/>
    <w:rsid w:val="008D6798"/>
    <w:rsid w:val="008E60BE"/>
    <w:rsid w:val="008F1DCE"/>
    <w:rsid w:val="008F3BDB"/>
    <w:rsid w:val="0090675C"/>
    <w:rsid w:val="009154BB"/>
    <w:rsid w:val="009271B6"/>
    <w:rsid w:val="0092748D"/>
    <w:rsid w:val="0094240E"/>
    <w:rsid w:val="0094269F"/>
    <w:rsid w:val="00945C8B"/>
    <w:rsid w:val="00950611"/>
    <w:rsid w:val="009524BE"/>
    <w:rsid w:val="00952776"/>
    <w:rsid w:val="009569A4"/>
    <w:rsid w:val="00963D91"/>
    <w:rsid w:val="00966585"/>
    <w:rsid w:val="009720AE"/>
    <w:rsid w:val="00991108"/>
    <w:rsid w:val="009932A4"/>
    <w:rsid w:val="00996D9C"/>
    <w:rsid w:val="009B047A"/>
    <w:rsid w:val="009B53FB"/>
    <w:rsid w:val="009C3EF7"/>
    <w:rsid w:val="009C507D"/>
    <w:rsid w:val="009C6152"/>
    <w:rsid w:val="009D3E2E"/>
    <w:rsid w:val="009D6FDB"/>
    <w:rsid w:val="009E2DA8"/>
    <w:rsid w:val="009F21F3"/>
    <w:rsid w:val="009F2438"/>
    <w:rsid w:val="009F2445"/>
    <w:rsid w:val="009F289F"/>
    <w:rsid w:val="009F596F"/>
    <w:rsid w:val="00A02D8C"/>
    <w:rsid w:val="00A11A43"/>
    <w:rsid w:val="00A11D59"/>
    <w:rsid w:val="00A12258"/>
    <w:rsid w:val="00A135A6"/>
    <w:rsid w:val="00A1577E"/>
    <w:rsid w:val="00A15FB1"/>
    <w:rsid w:val="00A2339B"/>
    <w:rsid w:val="00A305BA"/>
    <w:rsid w:val="00A306E0"/>
    <w:rsid w:val="00A324A8"/>
    <w:rsid w:val="00A35F2E"/>
    <w:rsid w:val="00A3700D"/>
    <w:rsid w:val="00A37A69"/>
    <w:rsid w:val="00A51DA2"/>
    <w:rsid w:val="00A5239D"/>
    <w:rsid w:val="00A53027"/>
    <w:rsid w:val="00A5433E"/>
    <w:rsid w:val="00A553FC"/>
    <w:rsid w:val="00A5648F"/>
    <w:rsid w:val="00A60C96"/>
    <w:rsid w:val="00A6440F"/>
    <w:rsid w:val="00A64DFA"/>
    <w:rsid w:val="00A71D99"/>
    <w:rsid w:val="00A76F5C"/>
    <w:rsid w:val="00A830D7"/>
    <w:rsid w:val="00A8554D"/>
    <w:rsid w:val="00A933D8"/>
    <w:rsid w:val="00A9596C"/>
    <w:rsid w:val="00A972FB"/>
    <w:rsid w:val="00AA714B"/>
    <w:rsid w:val="00AC4D5F"/>
    <w:rsid w:val="00AC731D"/>
    <w:rsid w:val="00AC7733"/>
    <w:rsid w:val="00AD3DDB"/>
    <w:rsid w:val="00AD4A51"/>
    <w:rsid w:val="00AD588A"/>
    <w:rsid w:val="00AE2356"/>
    <w:rsid w:val="00AE267B"/>
    <w:rsid w:val="00AE7943"/>
    <w:rsid w:val="00AF1009"/>
    <w:rsid w:val="00B00DC9"/>
    <w:rsid w:val="00B11DEF"/>
    <w:rsid w:val="00B21F0A"/>
    <w:rsid w:val="00B23F2E"/>
    <w:rsid w:val="00B2460C"/>
    <w:rsid w:val="00B24B1D"/>
    <w:rsid w:val="00B26D09"/>
    <w:rsid w:val="00B3201A"/>
    <w:rsid w:val="00B3488D"/>
    <w:rsid w:val="00B44A2D"/>
    <w:rsid w:val="00B45E5E"/>
    <w:rsid w:val="00B46734"/>
    <w:rsid w:val="00B50070"/>
    <w:rsid w:val="00B54F11"/>
    <w:rsid w:val="00B57288"/>
    <w:rsid w:val="00B63DC8"/>
    <w:rsid w:val="00B668C6"/>
    <w:rsid w:val="00B7294B"/>
    <w:rsid w:val="00B73D86"/>
    <w:rsid w:val="00B743A0"/>
    <w:rsid w:val="00B77C0B"/>
    <w:rsid w:val="00B90221"/>
    <w:rsid w:val="00B9191D"/>
    <w:rsid w:val="00BA2947"/>
    <w:rsid w:val="00BA2DA1"/>
    <w:rsid w:val="00BA4073"/>
    <w:rsid w:val="00BA61DF"/>
    <w:rsid w:val="00BB2504"/>
    <w:rsid w:val="00BB2E5D"/>
    <w:rsid w:val="00BC2A33"/>
    <w:rsid w:val="00BC5607"/>
    <w:rsid w:val="00BC6BA2"/>
    <w:rsid w:val="00BE0D9F"/>
    <w:rsid w:val="00BF5F96"/>
    <w:rsid w:val="00C160F1"/>
    <w:rsid w:val="00C1716C"/>
    <w:rsid w:val="00C22306"/>
    <w:rsid w:val="00C22E04"/>
    <w:rsid w:val="00C25C6A"/>
    <w:rsid w:val="00C30CF1"/>
    <w:rsid w:val="00C31AE8"/>
    <w:rsid w:val="00C37D42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7045"/>
    <w:rsid w:val="00CE636C"/>
    <w:rsid w:val="00CF3F11"/>
    <w:rsid w:val="00CF6099"/>
    <w:rsid w:val="00CF6AAF"/>
    <w:rsid w:val="00CF6CFF"/>
    <w:rsid w:val="00D04505"/>
    <w:rsid w:val="00D07CF0"/>
    <w:rsid w:val="00D121C8"/>
    <w:rsid w:val="00D125A5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6755"/>
    <w:rsid w:val="00D6720D"/>
    <w:rsid w:val="00D72208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0C4B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16A5"/>
    <w:rsid w:val="00E12B19"/>
    <w:rsid w:val="00E15B44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1BF3"/>
    <w:rsid w:val="00E42CDD"/>
    <w:rsid w:val="00E51687"/>
    <w:rsid w:val="00E51688"/>
    <w:rsid w:val="00E55984"/>
    <w:rsid w:val="00E60C04"/>
    <w:rsid w:val="00E61680"/>
    <w:rsid w:val="00E7660B"/>
    <w:rsid w:val="00E95AD2"/>
    <w:rsid w:val="00E97BA6"/>
    <w:rsid w:val="00EA0E31"/>
    <w:rsid w:val="00EA3C5D"/>
    <w:rsid w:val="00EA7460"/>
    <w:rsid w:val="00EB45D4"/>
    <w:rsid w:val="00EB48E7"/>
    <w:rsid w:val="00EB572E"/>
    <w:rsid w:val="00ED2632"/>
    <w:rsid w:val="00ED6C00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62000"/>
    <w:rsid w:val="00F71942"/>
    <w:rsid w:val="00F75257"/>
    <w:rsid w:val="00F753E1"/>
    <w:rsid w:val="00F81F05"/>
    <w:rsid w:val="00F92616"/>
    <w:rsid w:val="00FA62A5"/>
    <w:rsid w:val="00FB0938"/>
    <w:rsid w:val="00FB1384"/>
    <w:rsid w:val="00FB499E"/>
    <w:rsid w:val="00FC29D7"/>
    <w:rsid w:val="00FC2A03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69B77F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AA78-7E8A-4DE4-A304-2851BFA1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6</cp:revision>
  <cp:lastPrinted>2022-12-29T03:26:00Z</cp:lastPrinted>
  <dcterms:created xsi:type="dcterms:W3CDTF">2024-05-13T07:13:00Z</dcterms:created>
  <dcterms:modified xsi:type="dcterms:W3CDTF">2024-05-16T02:15:00Z</dcterms:modified>
</cp:coreProperties>
</file>